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B7" w:rsidRPr="001F31DC" w:rsidRDefault="0077077F" w:rsidP="001F31DC">
      <w:pPr>
        <w:autoSpaceDE w:val="0"/>
        <w:autoSpaceDN w:val="0"/>
        <w:adjustRightInd w:val="0"/>
        <w:jc w:val="right"/>
        <w:rPr>
          <w:kern w:val="0"/>
          <w:sz w:val="22"/>
          <w:szCs w:val="22"/>
        </w:rPr>
      </w:pPr>
      <w:bookmarkStart w:id="0" w:name="_GoBack"/>
      <w:bookmarkEnd w:id="0"/>
      <w:r w:rsidRPr="001F31DC">
        <w:rPr>
          <w:noProof/>
          <w:sz w:val="22"/>
          <w:szCs w:val="22"/>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52805" cy="114300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805" cy="1143000"/>
                    </a:xfrm>
                    <a:prstGeom prst="rect">
                      <a:avLst/>
                    </a:prstGeom>
                    <a:noFill/>
                    <a:ln>
                      <a:noFill/>
                    </a:ln>
                  </pic:spPr>
                </pic:pic>
              </a:graphicData>
            </a:graphic>
          </wp:anchor>
        </w:drawing>
      </w:r>
      <w:r w:rsidR="001F68B7" w:rsidRPr="001F31DC">
        <w:rPr>
          <w:kern w:val="0"/>
          <w:sz w:val="22"/>
          <w:szCs w:val="22"/>
        </w:rPr>
        <w:t>Copyright © 201</w:t>
      </w:r>
      <w:r>
        <w:rPr>
          <w:kern w:val="0"/>
          <w:sz w:val="22"/>
          <w:szCs w:val="22"/>
        </w:rPr>
        <w:t>5</w:t>
      </w:r>
      <w:r w:rsidR="001F68B7" w:rsidRPr="001F31DC">
        <w:rPr>
          <w:kern w:val="0"/>
          <w:sz w:val="22"/>
          <w:szCs w:val="22"/>
        </w:rPr>
        <w:t xml:space="preserve"> American Scientific Publishers</w:t>
      </w:r>
      <w:r w:rsidR="001F31DC" w:rsidRPr="001F31DC">
        <w:rPr>
          <w:kern w:val="0"/>
          <w:sz w:val="22"/>
          <w:szCs w:val="22"/>
        </w:rPr>
        <w:t>Advanced Science Letters</w:t>
      </w:r>
    </w:p>
    <w:p w:rsidR="001F68B7" w:rsidRPr="00481EB4" w:rsidRDefault="001F68B7" w:rsidP="0077077F">
      <w:pPr>
        <w:autoSpaceDE w:val="0"/>
        <w:autoSpaceDN w:val="0"/>
        <w:adjustRightInd w:val="0"/>
        <w:jc w:val="left"/>
        <w:rPr>
          <w:kern w:val="0"/>
          <w:sz w:val="22"/>
          <w:szCs w:val="22"/>
        </w:rPr>
      </w:pPr>
      <w:r w:rsidRPr="001F31DC">
        <w:rPr>
          <w:kern w:val="0"/>
          <w:sz w:val="22"/>
          <w:szCs w:val="22"/>
        </w:rPr>
        <w:t>All rights reserved</w:t>
      </w:r>
      <w:r w:rsidR="00481EB4" w:rsidRPr="00481EB4">
        <w:rPr>
          <w:kern w:val="0"/>
          <w:sz w:val="22"/>
          <w:szCs w:val="22"/>
        </w:rPr>
        <w:t xml:space="preserve">Vol. </w:t>
      </w:r>
      <w:r w:rsidR="0077077F">
        <w:rPr>
          <w:kern w:val="0"/>
          <w:sz w:val="22"/>
          <w:szCs w:val="22"/>
        </w:rPr>
        <w:t xml:space="preserve">XXXXXXXXX </w:t>
      </w:r>
    </w:p>
    <w:p w:rsidR="00A36B73" w:rsidRPr="001F31DC" w:rsidRDefault="001F68B7" w:rsidP="001F68B7">
      <w:pPr>
        <w:autoSpaceDE w:val="0"/>
        <w:autoSpaceDN w:val="0"/>
        <w:adjustRightInd w:val="0"/>
        <w:jc w:val="left"/>
        <w:rPr>
          <w:kern w:val="0"/>
          <w:sz w:val="22"/>
          <w:szCs w:val="22"/>
        </w:rPr>
      </w:pPr>
      <w:r w:rsidRPr="001F31DC">
        <w:rPr>
          <w:kern w:val="0"/>
          <w:sz w:val="22"/>
          <w:szCs w:val="22"/>
        </w:rPr>
        <w:t xml:space="preserve">Printed in the </w:t>
      </w:r>
      <w:smartTag w:uri="urn:schemas-microsoft-com:office:smarttags" w:element="place">
        <w:smartTag w:uri="urn:schemas-microsoft-com:office:smarttags" w:element="country-region">
          <w:r w:rsidRPr="001F31DC">
            <w:rPr>
              <w:kern w:val="0"/>
              <w:sz w:val="22"/>
              <w:szCs w:val="22"/>
            </w:rPr>
            <w:t>United States of America</w:t>
          </w:r>
        </w:smartTag>
      </w:smartTag>
    </w:p>
    <w:p w:rsidR="00CE3062" w:rsidRDefault="00CE3062" w:rsidP="007549B8">
      <w:pPr>
        <w:jc w:val="center"/>
        <w:rPr>
          <w:rFonts w:cs="Arial"/>
          <w:color w:val="000000"/>
          <w:kern w:val="0"/>
          <w:sz w:val="28"/>
          <w:szCs w:val="28"/>
        </w:rPr>
      </w:pPr>
      <w:bookmarkStart w:id="1" w:name="bookmark1"/>
    </w:p>
    <w:p w:rsidR="00CE3062" w:rsidRDefault="00CE3062"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080CC9" w:rsidRPr="00080CC9" w:rsidRDefault="00080CC9" w:rsidP="007549B8">
      <w:pPr>
        <w:jc w:val="center"/>
        <w:rPr>
          <w:rFonts w:cs="Arial"/>
          <w:b/>
          <w:color w:val="000000"/>
          <w:kern w:val="0"/>
          <w:sz w:val="48"/>
          <w:szCs w:val="48"/>
          <w:lang w:val="id-ID"/>
        </w:rPr>
      </w:pPr>
      <w:r w:rsidRPr="00080CC9">
        <w:rPr>
          <w:rStyle w:val="hps"/>
          <w:b/>
          <w:sz w:val="48"/>
          <w:szCs w:val="48"/>
        </w:rPr>
        <w:t xml:space="preserve">Evaluation </w:t>
      </w:r>
      <w:r>
        <w:rPr>
          <w:rStyle w:val="hps"/>
          <w:b/>
          <w:sz w:val="48"/>
          <w:szCs w:val="48"/>
          <w:lang w:val="id-ID"/>
        </w:rPr>
        <w:t>o</w:t>
      </w:r>
      <w:r w:rsidRPr="00080CC9">
        <w:rPr>
          <w:rStyle w:val="hps"/>
          <w:b/>
          <w:sz w:val="48"/>
          <w:szCs w:val="48"/>
        </w:rPr>
        <w:t xml:space="preserve">f The Efficiency </w:t>
      </w:r>
      <w:r>
        <w:rPr>
          <w:rStyle w:val="hps"/>
          <w:b/>
          <w:sz w:val="48"/>
          <w:szCs w:val="48"/>
          <w:lang w:val="id-ID"/>
        </w:rPr>
        <w:t>o</w:t>
      </w:r>
      <w:r w:rsidRPr="00080CC9">
        <w:rPr>
          <w:rStyle w:val="hps"/>
          <w:b/>
          <w:sz w:val="48"/>
          <w:szCs w:val="48"/>
        </w:rPr>
        <w:t xml:space="preserve">f </w:t>
      </w:r>
      <w:r w:rsidRPr="00080CC9">
        <w:rPr>
          <w:b/>
          <w:sz w:val="48"/>
          <w:szCs w:val="48"/>
        </w:rPr>
        <w:t xml:space="preserve">Indonesian Education University Using Data Envelopment Analysis During The Year </w:t>
      </w:r>
      <w:r>
        <w:rPr>
          <w:b/>
          <w:sz w:val="48"/>
          <w:szCs w:val="48"/>
          <w:lang w:val="id-ID"/>
        </w:rPr>
        <w:t>o</w:t>
      </w:r>
      <w:r w:rsidRPr="00080CC9">
        <w:rPr>
          <w:b/>
          <w:sz w:val="48"/>
          <w:szCs w:val="48"/>
        </w:rPr>
        <w:t>f 2010-2012</w:t>
      </w:r>
    </w:p>
    <w:bookmarkEnd w:id="1"/>
    <w:p w:rsidR="00357666" w:rsidRPr="00080CC9" w:rsidRDefault="00080CC9" w:rsidP="00004616">
      <w:pPr>
        <w:autoSpaceDE w:val="0"/>
        <w:autoSpaceDN w:val="0"/>
        <w:adjustRightInd w:val="0"/>
        <w:spacing w:beforeLines="170" w:before="408"/>
        <w:jc w:val="center"/>
        <w:rPr>
          <w:kern w:val="0"/>
          <w:sz w:val="20"/>
          <w:szCs w:val="20"/>
          <w:lang w:val="id-ID"/>
        </w:rPr>
      </w:pPr>
      <w:r>
        <w:rPr>
          <w:sz w:val="20"/>
          <w:szCs w:val="20"/>
          <w:lang w:val="id-ID"/>
        </w:rPr>
        <w:t>Moch Alip</w:t>
      </w:r>
      <w:r w:rsidR="003D63C6" w:rsidRPr="003D63C6">
        <w:rPr>
          <w:sz w:val="20"/>
          <w:szCs w:val="20"/>
          <w:vertAlign w:val="superscript"/>
        </w:rPr>
        <w:t>1</w:t>
      </w:r>
      <w:r w:rsidR="00A3206E" w:rsidRPr="009151D4">
        <w:rPr>
          <w:sz w:val="20"/>
          <w:szCs w:val="20"/>
        </w:rPr>
        <w:t xml:space="preserve">, </w:t>
      </w:r>
      <w:r>
        <w:rPr>
          <w:sz w:val="20"/>
          <w:szCs w:val="20"/>
          <w:lang w:val="id-ID"/>
        </w:rPr>
        <w:t>Handaru Jati</w:t>
      </w:r>
      <w:r>
        <w:rPr>
          <w:sz w:val="20"/>
          <w:szCs w:val="20"/>
          <w:vertAlign w:val="superscript"/>
          <w:lang w:val="id-ID"/>
        </w:rPr>
        <w:t>2</w:t>
      </w:r>
      <w:r w:rsidR="00156FD5">
        <w:rPr>
          <w:sz w:val="20"/>
          <w:szCs w:val="20"/>
          <w:vertAlign w:val="superscript"/>
          <w:lang w:val="id-ID"/>
        </w:rPr>
        <w:t>*</w:t>
      </w:r>
    </w:p>
    <w:p w:rsidR="00357666" w:rsidRPr="00611F7E" w:rsidRDefault="00357666">
      <w:pPr>
        <w:autoSpaceDE w:val="0"/>
        <w:autoSpaceDN w:val="0"/>
        <w:adjustRightInd w:val="0"/>
        <w:spacing w:line="41" w:lineRule="exact"/>
        <w:jc w:val="left"/>
        <w:rPr>
          <w:kern w:val="0"/>
          <w:sz w:val="24"/>
        </w:rPr>
      </w:pPr>
    </w:p>
    <w:p w:rsidR="00357666" w:rsidRDefault="00357666" w:rsidP="00004616">
      <w:pPr>
        <w:autoSpaceDE w:val="0"/>
        <w:autoSpaceDN w:val="0"/>
        <w:adjustRightInd w:val="0"/>
        <w:spacing w:beforeLines="10" w:before="24" w:line="239" w:lineRule="auto"/>
        <w:jc w:val="center"/>
        <w:rPr>
          <w:rFonts w:cs="Arial"/>
          <w:color w:val="000000"/>
          <w:kern w:val="0"/>
          <w:sz w:val="18"/>
          <w:szCs w:val="18"/>
        </w:rPr>
      </w:pPr>
      <w:r w:rsidRPr="007F7F5D">
        <w:rPr>
          <w:rFonts w:cs="Arial"/>
          <w:color w:val="000000"/>
          <w:kern w:val="0"/>
          <w:szCs w:val="21"/>
          <w:vertAlign w:val="superscript"/>
        </w:rPr>
        <w:t>1</w:t>
      </w:r>
      <w:r w:rsidR="00080CC9">
        <w:rPr>
          <w:rFonts w:cs="Arial"/>
          <w:color w:val="000000"/>
          <w:kern w:val="0"/>
          <w:sz w:val="18"/>
          <w:szCs w:val="18"/>
          <w:lang w:val="id-ID"/>
        </w:rPr>
        <w:t>Mechanical Engineering Education Department, Universitas Negeri Yogyakarta</w:t>
      </w:r>
      <w:r w:rsidR="00B70CC0" w:rsidRPr="00B70CC0">
        <w:rPr>
          <w:rFonts w:cs="Arial"/>
          <w:color w:val="000000"/>
          <w:kern w:val="0"/>
          <w:sz w:val="18"/>
          <w:szCs w:val="18"/>
        </w:rPr>
        <w:t xml:space="preserve">, </w:t>
      </w:r>
      <w:r w:rsidR="00080CC9">
        <w:rPr>
          <w:rFonts w:cs="Arial"/>
          <w:color w:val="000000"/>
          <w:kern w:val="0"/>
          <w:sz w:val="18"/>
          <w:szCs w:val="18"/>
          <w:lang w:val="id-ID"/>
        </w:rPr>
        <w:t>Karangmalang 55281, Indonesia</w:t>
      </w:r>
    </w:p>
    <w:p w:rsidR="00080CC9" w:rsidRDefault="00904EFE" w:rsidP="00080CC9">
      <w:pPr>
        <w:autoSpaceDE w:val="0"/>
        <w:autoSpaceDN w:val="0"/>
        <w:adjustRightInd w:val="0"/>
        <w:spacing w:beforeLines="10" w:before="24" w:line="239" w:lineRule="auto"/>
        <w:jc w:val="center"/>
        <w:rPr>
          <w:rFonts w:cs="Arial"/>
          <w:color w:val="000000"/>
          <w:kern w:val="0"/>
          <w:sz w:val="18"/>
          <w:szCs w:val="18"/>
        </w:rPr>
      </w:pPr>
      <w:r w:rsidRPr="00904EFE">
        <w:rPr>
          <w:rFonts w:cs="Arial"/>
          <w:color w:val="000000"/>
          <w:kern w:val="0"/>
          <w:sz w:val="18"/>
          <w:szCs w:val="18"/>
          <w:vertAlign w:val="superscript"/>
        </w:rPr>
        <w:t>2</w:t>
      </w:r>
      <w:r w:rsidR="00080CC9">
        <w:rPr>
          <w:rFonts w:cs="Arial"/>
          <w:color w:val="000000"/>
          <w:kern w:val="0"/>
          <w:sz w:val="18"/>
          <w:szCs w:val="18"/>
          <w:lang w:val="id-ID"/>
        </w:rPr>
        <w:t>Informatics Engineering Education Department, Universitas Negeri Yogyakarta</w:t>
      </w:r>
      <w:r w:rsidR="00080CC9" w:rsidRPr="00B70CC0">
        <w:rPr>
          <w:rFonts w:cs="Arial"/>
          <w:color w:val="000000"/>
          <w:kern w:val="0"/>
          <w:sz w:val="18"/>
          <w:szCs w:val="18"/>
        </w:rPr>
        <w:t xml:space="preserve">, </w:t>
      </w:r>
      <w:r w:rsidR="00080CC9">
        <w:rPr>
          <w:rFonts w:cs="Arial"/>
          <w:color w:val="000000"/>
          <w:kern w:val="0"/>
          <w:sz w:val="18"/>
          <w:szCs w:val="18"/>
          <w:lang w:val="id-ID"/>
        </w:rPr>
        <w:t>Karangmalang 55281, Indonesia</w:t>
      </w:r>
    </w:p>
    <w:p w:rsidR="00B70CC0" w:rsidRPr="00080CC9" w:rsidRDefault="00B70CC0" w:rsidP="00004616">
      <w:pPr>
        <w:autoSpaceDE w:val="0"/>
        <w:autoSpaceDN w:val="0"/>
        <w:adjustRightInd w:val="0"/>
        <w:spacing w:beforeLines="10" w:before="24" w:line="239" w:lineRule="auto"/>
        <w:jc w:val="center"/>
        <w:rPr>
          <w:rFonts w:cs="Arial"/>
          <w:color w:val="000000"/>
          <w:kern w:val="0"/>
          <w:sz w:val="18"/>
          <w:szCs w:val="18"/>
          <w:lang w:val="id-ID"/>
        </w:rPr>
      </w:pPr>
    </w:p>
    <w:p w:rsidR="00357666" w:rsidRPr="00B70CC0" w:rsidRDefault="00357666" w:rsidP="00004616">
      <w:pPr>
        <w:autoSpaceDE w:val="0"/>
        <w:autoSpaceDN w:val="0"/>
        <w:adjustRightInd w:val="0"/>
        <w:spacing w:beforeLines="10" w:before="24" w:line="95" w:lineRule="exact"/>
        <w:jc w:val="left"/>
        <w:rPr>
          <w:rFonts w:cs="Arial"/>
          <w:color w:val="000000"/>
          <w:kern w:val="0"/>
          <w:sz w:val="18"/>
          <w:szCs w:val="18"/>
        </w:rPr>
      </w:pPr>
    </w:p>
    <w:p w:rsidR="00357666" w:rsidRPr="00611F7E" w:rsidRDefault="00357666" w:rsidP="00004616">
      <w:pPr>
        <w:autoSpaceDE w:val="0"/>
        <w:autoSpaceDN w:val="0"/>
        <w:adjustRightInd w:val="0"/>
        <w:spacing w:beforeLines="10" w:before="24" w:line="104" w:lineRule="exact"/>
        <w:jc w:val="left"/>
        <w:rPr>
          <w:kern w:val="0"/>
          <w:sz w:val="24"/>
        </w:rPr>
      </w:pPr>
    </w:p>
    <w:p w:rsidR="00497670" w:rsidRPr="00611F7E" w:rsidRDefault="00497670" w:rsidP="00004616">
      <w:pPr>
        <w:autoSpaceDE w:val="0"/>
        <w:autoSpaceDN w:val="0"/>
        <w:adjustRightInd w:val="0"/>
        <w:spacing w:beforeLines="10" w:before="24"/>
        <w:jc w:val="center"/>
        <w:rPr>
          <w:kern w:val="0"/>
          <w:sz w:val="24"/>
        </w:rPr>
      </w:pPr>
    </w:p>
    <w:p w:rsidR="00080CC9" w:rsidRPr="00080CC9" w:rsidRDefault="00080CC9" w:rsidP="00080CC9">
      <w:pPr>
        <w:overflowPunct w:val="0"/>
        <w:autoSpaceDE w:val="0"/>
        <w:autoSpaceDN w:val="0"/>
        <w:adjustRightInd w:val="0"/>
        <w:spacing w:line="307" w:lineRule="auto"/>
        <w:ind w:left="851" w:right="851"/>
        <w:rPr>
          <w:sz w:val="18"/>
          <w:szCs w:val="18"/>
        </w:rPr>
      </w:pPr>
      <w:r w:rsidRPr="00080CC9">
        <w:rPr>
          <w:sz w:val="18"/>
          <w:szCs w:val="18"/>
        </w:rPr>
        <w:t>Improving the efficiency of the Indonesian Education Public University System is a growing need after the implementation of the open market and in the current budget constraint. Economic conditions have led governments to emphasize control and pursue goals of efficiency and productivity in the allocation of public sector resources. This important concern has aimed at</w:t>
      </w:r>
      <w:r w:rsidRPr="00080CC9">
        <w:rPr>
          <w:sz w:val="18"/>
          <w:szCs w:val="18"/>
          <w:lang w:val="id-ID"/>
        </w:rPr>
        <w:t xml:space="preserve"> </w:t>
      </w:r>
      <w:r w:rsidRPr="00080CC9">
        <w:rPr>
          <w:sz w:val="18"/>
          <w:szCs w:val="18"/>
        </w:rPr>
        <w:t>educational to bear in mind the evaluation and control of the funding of public institutions and, in particular, of the Universities administrations. In this context, this study has two objectives. First, to evaluate the relative technical efficiency of Indonesian universities by applying the methodology of Data Envelopment Analysis from a sample of 12 Indonesian Education public Universities between 2010/11 and 2011/12 courses. Second, find out if there are significant differences between them in efficiency in terms of certain institutional characteristics. Our findings reveal an acceptable level of average efficiency in the university sector during the period analyzed.</w:t>
      </w:r>
    </w:p>
    <w:p w:rsidR="00080CC9" w:rsidRDefault="00080CC9" w:rsidP="00542B7A">
      <w:pPr>
        <w:overflowPunct w:val="0"/>
        <w:autoSpaceDE w:val="0"/>
        <w:autoSpaceDN w:val="0"/>
        <w:adjustRightInd w:val="0"/>
        <w:spacing w:line="307" w:lineRule="auto"/>
        <w:ind w:left="851" w:right="851"/>
        <w:rPr>
          <w:rFonts w:cs="Arial"/>
          <w:color w:val="000000"/>
          <w:kern w:val="0"/>
          <w:sz w:val="18"/>
          <w:szCs w:val="18"/>
          <w:lang w:val="id-ID"/>
        </w:rPr>
      </w:pPr>
    </w:p>
    <w:p w:rsidR="00080CC9" w:rsidRPr="00080CC9" w:rsidRDefault="00357666" w:rsidP="00080CC9">
      <w:pPr>
        <w:pBdr>
          <w:between w:val="single" w:sz="6" w:space="1" w:color="auto"/>
        </w:pBdr>
        <w:autoSpaceDE w:val="0"/>
        <w:autoSpaceDN w:val="0"/>
        <w:adjustRightInd w:val="0"/>
        <w:spacing w:before="120"/>
        <w:ind w:left="851" w:right="851"/>
        <w:jc w:val="left"/>
        <w:rPr>
          <w:b/>
          <w:bCs/>
          <w:color w:val="000000"/>
          <w:kern w:val="0"/>
          <w:sz w:val="22"/>
          <w:szCs w:val="22"/>
          <w:lang w:val="id-ID"/>
        </w:rPr>
        <w:sectPr w:rsidR="00080CC9" w:rsidRPr="00080CC9" w:rsidSect="003B6059">
          <w:headerReference w:type="even" r:id="rId8"/>
          <w:headerReference w:type="default" r:id="rId9"/>
          <w:footerReference w:type="even" r:id="rId10"/>
          <w:footerReference w:type="default" r:id="rId11"/>
          <w:headerReference w:type="first" r:id="rId12"/>
          <w:type w:val="continuous"/>
          <w:pgSz w:w="11900" w:h="16838" w:code="9"/>
          <w:pgMar w:top="1253" w:right="567" w:bottom="873" w:left="567" w:header="0" w:footer="720" w:gutter="0"/>
          <w:pgNumType w:start="1"/>
          <w:cols w:space="720"/>
          <w:noEndnote/>
        </w:sectPr>
      </w:pPr>
      <w:r w:rsidRPr="00B2420C">
        <w:rPr>
          <w:rFonts w:cs="Arial"/>
          <w:b/>
          <w:bCs/>
          <w:color w:val="000000"/>
          <w:kern w:val="0"/>
          <w:sz w:val="18"/>
          <w:szCs w:val="18"/>
        </w:rPr>
        <w:t>Keywords:</w:t>
      </w:r>
      <w:r w:rsidR="00080CC9">
        <w:rPr>
          <w:rFonts w:cs="Arial"/>
          <w:b/>
          <w:bCs/>
          <w:color w:val="000000"/>
          <w:kern w:val="0"/>
          <w:sz w:val="18"/>
          <w:szCs w:val="18"/>
          <w:lang w:val="id-ID"/>
        </w:rPr>
        <w:t xml:space="preserve"> </w:t>
      </w:r>
      <w:r w:rsidR="00080CC9">
        <w:rPr>
          <w:rFonts w:cs="Arial"/>
          <w:color w:val="000000"/>
          <w:kern w:val="0"/>
          <w:sz w:val="18"/>
          <w:szCs w:val="18"/>
          <w:lang w:val="id-ID"/>
        </w:rPr>
        <w:t>T</w:t>
      </w:r>
      <w:r w:rsidR="00080CC9" w:rsidRPr="00080CC9">
        <w:rPr>
          <w:sz w:val="18"/>
          <w:szCs w:val="18"/>
        </w:rPr>
        <w:t xml:space="preserve">echnical </w:t>
      </w:r>
      <w:r w:rsidR="00080CC9">
        <w:rPr>
          <w:sz w:val="18"/>
          <w:szCs w:val="18"/>
          <w:lang w:val="id-ID"/>
        </w:rPr>
        <w:t>E</w:t>
      </w:r>
      <w:r w:rsidR="00080CC9" w:rsidRPr="00080CC9">
        <w:rPr>
          <w:sz w:val="18"/>
          <w:szCs w:val="18"/>
        </w:rPr>
        <w:t>fficiency, Indonesian Education</w:t>
      </w:r>
      <w:r w:rsidR="00080CC9">
        <w:rPr>
          <w:sz w:val="18"/>
          <w:szCs w:val="18"/>
          <w:lang w:val="id-ID"/>
        </w:rPr>
        <w:t>, P</w:t>
      </w:r>
      <w:r w:rsidR="00080CC9" w:rsidRPr="00080CC9">
        <w:rPr>
          <w:sz w:val="18"/>
          <w:szCs w:val="18"/>
        </w:rPr>
        <w:t xml:space="preserve">ublic </w:t>
      </w:r>
      <w:r w:rsidR="00080CC9">
        <w:rPr>
          <w:sz w:val="18"/>
          <w:szCs w:val="18"/>
          <w:lang w:val="id-ID"/>
        </w:rPr>
        <w:t>U</w:t>
      </w:r>
      <w:r w:rsidR="00080CC9" w:rsidRPr="00080CC9">
        <w:rPr>
          <w:sz w:val="18"/>
          <w:szCs w:val="18"/>
        </w:rPr>
        <w:t xml:space="preserve">niversity, </w:t>
      </w:r>
      <w:r w:rsidR="00080CC9">
        <w:rPr>
          <w:sz w:val="18"/>
          <w:szCs w:val="18"/>
          <w:lang w:val="id-ID"/>
        </w:rPr>
        <w:t>O</w:t>
      </w:r>
      <w:r w:rsidR="00080CC9" w:rsidRPr="00080CC9">
        <w:rPr>
          <w:sz w:val="18"/>
          <w:szCs w:val="18"/>
        </w:rPr>
        <w:t xml:space="preserve">pen </w:t>
      </w:r>
      <w:r w:rsidR="00080CC9">
        <w:rPr>
          <w:sz w:val="18"/>
          <w:szCs w:val="18"/>
          <w:lang w:val="id-ID"/>
        </w:rPr>
        <w:t>M</w:t>
      </w:r>
      <w:r w:rsidR="00080CC9" w:rsidRPr="00080CC9">
        <w:rPr>
          <w:sz w:val="18"/>
          <w:szCs w:val="18"/>
        </w:rPr>
        <w:t xml:space="preserve">arket, </w:t>
      </w:r>
      <w:r w:rsidR="00080CC9">
        <w:rPr>
          <w:sz w:val="18"/>
          <w:szCs w:val="18"/>
          <w:lang w:val="id-ID"/>
        </w:rPr>
        <w:t>D</w:t>
      </w:r>
      <w:r w:rsidR="00080CC9" w:rsidRPr="00080CC9">
        <w:rPr>
          <w:sz w:val="18"/>
          <w:szCs w:val="18"/>
        </w:rPr>
        <w:t xml:space="preserve">ata </w:t>
      </w:r>
      <w:r w:rsidR="00080CC9">
        <w:rPr>
          <w:sz w:val="18"/>
          <w:szCs w:val="18"/>
          <w:lang w:val="id-ID"/>
        </w:rPr>
        <w:t>E</w:t>
      </w:r>
      <w:r w:rsidR="00080CC9" w:rsidRPr="00080CC9">
        <w:rPr>
          <w:sz w:val="18"/>
          <w:szCs w:val="18"/>
        </w:rPr>
        <w:t xml:space="preserve">nvelopment </w:t>
      </w:r>
      <w:r w:rsidR="00080CC9">
        <w:rPr>
          <w:sz w:val="18"/>
          <w:szCs w:val="18"/>
          <w:lang w:val="id-ID"/>
        </w:rPr>
        <w:t>A</w:t>
      </w:r>
      <w:r w:rsidR="00080CC9" w:rsidRPr="00080CC9">
        <w:rPr>
          <w:sz w:val="18"/>
          <w:szCs w:val="18"/>
        </w:rPr>
        <w:t>nalysis</w:t>
      </w:r>
    </w:p>
    <w:p w:rsidR="00DC474C" w:rsidRDefault="00DC474C" w:rsidP="00004616">
      <w:pPr>
        <w:pBdr>
          <w:between w:val="single" w:sz="6" w:space="1" w:color="auto"/>
        </w:pBdr>
        <w:autoSpaceDE w:val="0"/>
        <w:autoSpaceDN w:val="0"/>
        <w:adjustRightInd w:val="0"/>
        <w:spacing w:beforeLines="100" w:before="240" w:afterLines="100" w:after="240"/>
        <w:jc w:val="left"/>
        <w:rPr>
          <w:b/>
          <w:bCs/>
          <w:color w:val="000000"/>
          <w:kern w:val="0"/>
          <w:sz w:val="22"/>
          <w:szCs w:val="22"/>
        </w:rPr>
      </w:pPr>
    </w:p>
    <w:p w:rsidR="00357666" w:rsidRPr="007549B8" w:rsidRDefault="008C54D0" w:rsidP="00004616">
      <w:pPr>
        <w:autoSpaceDE w:val="0"/>
        <w:autoSpaceDN w:val="0"/>
        <w:adjustRightInd w:val="0"/>
        <w:spacing w:afterLines="100" w:after="240"/>
        <w:jc w:val="left"/>
        <w:rPr>
          <w:b/>
          <w:bCs/>
          <w:color w:val="000000"/>
          <w:kern w:val="0"/>
          <w:sz w:val="22"/>
          <w:szCs w:val="22"/>
        </w:rPr>
      </w:pPr>
      <w:r w:rsidRPr="007549B8">
        <w:rPr>
          <w:b/>
          <w:bCs/>
          <w:color w:val="000000"/>
          <w:kern w:val="0"/>
          <w:sz w:val="22"/>
          <w:szCs w:val="22"/>
        </w:rPr>
        <w:t>1</w:t>
      </w:r>
      <w:r w:rsidR="00300116">
        <w:rPr>
          <w:rFonts w:hint="eastAsia"/>
          <w:b/>
          <w:bCs/>
          <w:color w:val="000000"/>
          <w:kern w:val="0"/>
          <w:sz w:val="22"/>
          <w:szCs w:val="22"/>
        </w:rPr>
        <w:t>.</w:t>
      </w:r>
      <w:r w:rsidRPr="007549B8">
        <w:rPr>
          <w:b/>
          <w:bCs/>
          <w:color w:val="000000"/>
          <w:kern w:val="0"/>
          <w:sz w:val="22"/>
          <w:szCs w:val="22"/>
        </w:rPr>
        <w:t xml:space="preserve"> INTRODUCTION</w:t>
      </w:r>
    </w:p>
    <w:p w:rsidR="00EE7F41" w:rsidRPr="00EE7F41" w:rsidRDefault="00EE7F41" w:rsidP="00EE7F41">
      <w:pPr>
        <w:spacing w:line="240" w:lineRule="exact"/>
        <w:ind w:firstLineChars="150" w:firstLine="330"/>
        <w:rPr>
          <w:sz w:val="22"/>
          <w:szCs w:val="22"/>
          <w:lang w:val="id-ID"/>
        </w:rPr>
      </w:pPr>
      <w:r w:rsidRPr="00EE7F41">
        <w:rPr>
          <w:sz w:val="22"/>
          <w:szCs w:val="22"/>
        </w:rPr>
        <w:t>Universities are learning organizations; its main objectives are to generate, acquire and transfer knowledge; develop and transfer technological innovation; support and challenge current political establishments and support the economy by becoming providers of adequate knowledge and demanded by the workforce in the global market competitions</w:t>
      </w:r>
      <w:r w:rsidR="007B231B" w:rsidRPr="007B231B">
        <w:rPr>
          <w:sz w:val="22"/>
          <w:szCs w:val="22"/>
          <w:vertAlign w:val="superscript"/>
          <w:lang w:val="id-ID"/>
        </w:rPr>
        <w:t>1</w:t>
      </w:r>
      <w:r w:rsidRPr="00EE7F41">
        <w:rPr>
          <w:sz w:val="22"/>
          <w:szCs w:val="22"/>
        </w:rPr>
        <w:t xml:space="preserve">. However, universities have faced economic difficulties, where the new framework of public accountability has led to the changes in aspects related to their academic, organizational structures and infrastructure. </w:t>
      </w:r>
    </w:p>
    <w:p w:rsidR="00EE7F41" w:rsidRPr="00474E86" w:rsidRDefault="00EE7F41" w:rsidP="00EE7F41">
      <w:pPr>
        <w:spacing w:line="240" w:lineRule="exact"/>
        <w:ind w:firstLineChars="150" w:firstLine="330"/>
        <w:rPr>
          <w:sz w:val="22"/>
          <w:szCs w:val="22"/>
          <w:lang w:val="id-ID"/>
        </w:rPr>
      </w:pPr>
      <w:r w:rsidRPr="00EE7F41">
        <w:rPr>
          <w:sz w:val="22"/>
          <w:szCs w:val="22"/>
        </w:rPr>
        <w:t>Some modifications have been carried out within Higher Education Institutions (HEI) are the duration of</w:t>
      </w:r>
      <w:r w:rsidR="00474E86">
        <w:rPr>
          <w:sz w:val="22"/>
          <w:szCs w:val="22"/>
          <w:lang w:val="id-ID"/>
        </w:rPr>
        <w:t xml:space="preserve"> t</w:t>
      </w:r>
      <w:r w:rsidR="00474E86" w:rsidRPr="00EE7F41">
        <w:rPr>
          <w:sz w:val="22"/>
          <w:szCs w:val="22"/>
        </w:rPr>
        <w:t>he academic programs,</w:t>
      </w:r>
      <w:r w:rsidR="00474E86" w:rsidRPr="00EE7F41">
        <w:rPr>
          <w:sz w:val="22"/>
          <w:szCs w:val="22"/>
          <w:lang w:val="id-ID"/>
        </w:rPr>
        <w:t xml:space="preserve"> </w:t>
      </w:r>
      <w:r w:rsidR="00474E86" w:rsidRPr="00EE7F41">
        <w:rPr>
          <w:sz w:val="22"/>
          <w:szCs w:val="22"/>
        </w:rPr>
        <w:t>the average length of time required to obtain a title</w:t>
      </w:r>
      <w:r w:rsidR="00474E86" w:rsidRPr="007B231B">
        <w:rPr>
          <w:sz w:val="22"/>
          <w:szCs w:val="22"/>
          <w:vertAlign w:val="superscript"/>
          <w:lang w:val="id-ID"/>
        </w:rPr>
        <w:t>1</w:t>
      </w:r>
      <w:r w:rsidR="00474E86" w:rsidRPr="00EE7F41">
        <w:rPr>
          <w:sz w:val="22"/>
          <w:szCs w:val="22"/>
        </w:rPr>
        <w:t>, the base process evaluation,</w:t>
      </w:r>
      <w:r w:rsidR="00474E86" w:rsidRPr="00474E86">
        <w:rPr>
          <w:sz w:val="22"/>
          <w:szCs w:val="22"/>
        </w:rPr>
        <w:t xml:space="preserve"> </w:t>
      </w:r>
      <w:r w:rsidR="00474E86" w:rsidRPr="00EE7F41">
        <w:rPr>
          <w:sz w:val="22"/>
          <w:szCs w:val="22"/>
        </w:rPr>
        <w:t>planning and reorientation of an activity individual or organizational type</w:t>
      </w:r>
      <w:r w:rsidR="00474E86" w:rsidRPr="007B231B">
        <w:rPr>
          <w:sz w:val="22"/>
          <w:szCs w:val="22"/>
          <w:vertAlign w:val="superscript"/>
          <w:lang w:val="id-ID"/>
        </w:rPr>
        <w:t>2</w:t>
      </w:r>
      <w:r w:rsidR="00474E86" w:rsidRPr="00EE7F41">
        <w:rPr>
          <w:sz w:val="22"/>
          <w:szCs w:val="22"/>
        </w:rPr>
        <w:t xml:space="preserve"> and greater emphasis on research and</w:t>
      </w:r>
    </w:p>
    <w:p w:rsidR="00EE7F41" w:rsidRPr="00EE7F41" w:rsidRDefault="00EE7F41" w:rsidP="00EE7F41">
      <w:pPr>
        <w:pBdr>
          <w:top w:val="single" w:sz="6" w:space="2" w:color="auto"/>
        </w:pBdr>
        <w:rPr>
          <w:sz w:val="22"/>
          <w:szCs w:val="22"/>
        </w:rPr>
      </w:pPr>
      <w:r w:rsidRPr="00EE7F41">
        <w:rPr>
          <w:rFonts w:hint="eastAsia"/>
          <w:sz w:val="22"/>
          <w:szCs w:val="22"/>
          <w:vertAlign w:val="superscript"/>
        </w:rPr>
        <w:t>*</w:t>
      </w:r>
      <w:r w:rsidRPr="00EE7F41">
        <w:rPr>
          <w:sz w:val="22"/>
          <w:szCs w:val="22"/>
        </w:rPr>
        <w:t xml:space="preserve">Email Address: </w:t>
      </w:r>
      <w:r w:rsidR="00156FD5">
        <w:rPr>
          <w:sz w:val="22"/>
          <w:szCs w:val="22"/>
          <w:lang w:val="id-ID"/>
        </w:rPr>
        <w:t>handaru@uny</w:t>
      </w:r>
      <w:r w:rsidRPr="00EE7F41">
        <w:rPr>
          <w:sz w:val="22"/>
          <w:szCs w:val="22"/>
        </w:rPr>
        <w:t>.</w:t>
      </w:r>
      <w:r w:rsidR="00156FD5">
        <w:rPr>
          <w:sz w:val="22"/>
          <w:szCs w:val="22"/>
          <w:lang w:val="id-ID"/>
        </w:rPr>
        <w:t>ac</w:t>
      </w:r>
      <w:r w:rsidRPr="00EE7F41">
        <w:rPr>
          <w:sz w:val="22"/>
          <w:szCs w:val="22"/>
        </w:rPr>
        <w:t>.</w:t>
      </w:r>
      <w:r w:rsidR="00156FD5">
        <w:rPr>
          <w:sz w:val="22"/>
          <w:szCs w:val="22"/>
          <w:lang w:val="id-ID"/>
        </w:rPr>
        <w:t>id</w:t>
      </w:r>
    </w:p>
    <w:p w:rsidR="00EE7F41" w:rsidRPr="00EE7F41" w:rsidRDefault="00EE7F41" w:rsidP="00EE7F41">
      <w:pPr>
        <w:spacing w:line="240" w:lineRule="exact"/>
        <w:ind w:firstLineChars="150" w:firstLine="330"/>
        <w:rPr>
          <w:sz w:val="22"/>
          <w:szCs w:val="22"/>
          <w:lang w:val="id-ID"/>
        </w:rPr>
      </w:pPr>
    </w:p>
    <w:p w:rsidR="00EE7F41" w:rsidRPr="00EE7F41" w:rsidRDefault="00EE7F41" w:rsidP="00EE7F41">
      <w:pPr>
        <w:spacing w:line="240" w:lineRule="exact"/>
        <w:ind w:firstLineChars="150" w:firstLine="330"/>
        <w:rPr>
          <w:sz w:val="22"/>
          <w:szCs w:val="22"/>
          <w:lang w:val="id-ID"/>
        </w:rPr>
      </w:pPr>
    </w:p>
    <w:p w:rsidR="00474E86" w:rsidRDefault="00474E86" w:rsidP="00EE7F41">
      <w:pPr>
        <w:rPr>
          <w:sz w:val="22"/>
          <w:szCs w:val="22"/>
          <w:lang w:val="id-ID"/>
        </w:rPr>
      </w:pPr>
    </w:p>
    <w:p w:rsidR="00474E86" w:rsidRDefault="00474E86" w:rsidP="00EE7F41">
      <w:pPr>
        <w:rPr>
          <w:sz w:val="22"/>
          <w:szCs w:val="22"/>
          <w:lang w:val="id-ID"/>
        </w:rPr>
      </w:pPr>
    </w:p>
    <w:p w:rsidR="00474E86" w:rsidRDefault="00474E86" w:rsidP="00EE7F41">
      <w:pPr>
        <w:rPr>
          <w:sz w:val="22"/>
          <w:szCs w:val="22"/>
          <w:lang w:val="id-ID"/>
        </w:rPr>
      </w:pPr>
    </w:p>
    <w:p w:rsidR="00EE7F41" w:rsidRPr="00EE7F41" w:rsidRDefault="00EE7F41" w:rsidP="00EE7F41">
      <w:pPr>
        <w:rPr>
          <w:sz w:val="22"/>
          <w:szCs w:val="22"/>
        </w:rPr>
      </w:pPr>
      <w:r w:rsidRPr="00EE7F41">
        <w:rPr>
          <w:sz w:val="22"/>
          <w:szCs w:val="22"/>
        </w:rPr>
        <w:t>teaching</w:t>
      </w:r>
      <w:r w:rsidR="007B231B" w:rsidRPr="007B231B">
        <w:rPr>
          <w:sz w:val="22"/>
          <w:szCs w:val="22"/>
          <w:vertAlign w:val="superscript"/>
          <w:lang w:val="id-ID"/>
        </w:rPr>
        <w:t>3</w:t>
      </w:r>
      <w:r w:rsidRPr="00EE7F41">
        <w:rPr>
          <w:sz w:val="22"/>
          <w:szCs w:val="22"/>
        </w:rPr>
        <w:t xml:space="preserve">. The reason for these changes is to improve the efficiency of universities; </w:t>
      </w:r>
      <w:r w:rsidR="00D51399" w:rsidRPr="00EE7F41">
        <w:rPr>
          <w:sz w:val="22"/>
          <w:szCs w:val="22"/>
        </w:rPr>
        <w:t>i.e.</w:t>
      </w:r>
      <w:r w:rsidRPr="00EE7F41">
        <w:rPr>
          <w:sz w:val="22"/>
          <w:szCs w:val="22"/>
        </w:rPr>
        <w:t xml:space="preserve"> improve their ability to get better results (in terms of graduates, research projects, publications, etc) and more efficient use of resources (financial and human)</w:t>
      </w:r>
      <w:r w:rsidR="007B231B" w:rsidRPr="007B231B">
        <w:rPr>
          <w:sz w:val="22"/>
          <w:szCs w:val="22"/>
          <w:vertAlign w:val="superscript"/>
          <w:lang w:val="id-ID"/>
        </w:rPr>
        <w:t>4</w:t>
      </w:r>
      <w:r w:rsidRPr="00EE7F41">
        <w:rPr>
          <w:sz w:val="22"/>
          <w:szCs w:val="22"/>
        </w:rPr>
        <w:t xml:space="preserve">. </w:t>
      </w:r>
    </w:p>
    <w:p w:rsidR="00474E86" w:rsidRDefault="00EE7F41" w:rsidP="00474E86">
      <w:pPr>
        <w:ind w:firstLine="720"/>
        <w:rPr>
          <w:sz w:val="22"/>
          <w:szCs w:val="22"/>
          <w:lang w:val="id-ID"/>
        </w:rPr>
      </w:pPr>
      <w:r w:rsidRPr="00EE7F41">
        <w:rPr>
          <w:rFonts w:eastAsia="Times New Roman"/>
          <w:sz w:val="22"/>
          <w:szCs w:val="22"/>
          <w:lang w:eastAsia="id-ID"/>
        </w:rPr>
        <w:t>Efficiency is one of the important aspects that need to be considered when assessing the management processes</w:t>
      </w:r>
      <w:r w:rsidR="00156FD5">
        <w:rPr>
          <w:rFonts w:eastAsia="Times New Roman"/>
          <w:sz w:val="22"/>
          <w:szCs w:val="22"/>
          <w:lang w:val="id-ID" w:eastAsia="id-ID"/>
        </w:rPr>
        <w:t xml:space="preserve"> </w:t>
      </w:r>
      <w:r w:rsidRPr="00EE7F41">
        <w:rPr>
          <w:rStyle w:val="hps"/>
          <w:sz w:val="22"/>
          <w:szCs w:val="22"/>
        </w:rPr>
        <w:t>university</w:t>
      </w:r>
      <w:r w:rsidRPr="00EE7F41">
        <w:rPr>
          <w:sz w:val="22"/>
          <w:szCs w:val="22"/>
        </w:rPr>
        <w:t xml:space="preserve">. </w:t>
      </w:r>
      <w:r w:rsidRPr="00EE7F41">
        <w:rPr>
          <w:rStyle w:val="hps"/>
          <w:sz w:val="22"/>
          <w:szCs w:val="22"/>
        </w:rPr>
        <w:t>For this process to</w:t>
      </w:r>
      <w:r w:rsidR="00156FD5">
        <w:rPr>
          <w:rStyle w:val="hps"/>
          <w:sz w:val="22"/>
          <w:szCs w:val="22"/>
          <w:lang w:val="id-ID"/>
        </w:rPr>
        <w:t xml:space="preserve"> </w:t>
      </w:r>
      <w:r w:rsidRPr="00EE7F41">
        <w:rPr>
          <w:rStyle w:val="hps"/>
          <w:sz w:val="22"/>
          <w:szCs w:val="22"/>
        </w:rPr>
        <w:t>be effective</w:t>
      </w:r>
      <w:r w:rsidRPr="00EE7F41">
        <w:rPr>
          <w:sz w:val="22"/>
          <w:szCs w:val="22"/>
        </w:rPr>
        <w:t xml:space="preserve">, it is important </w:t>
      </w:r>
      <w:r w:rsidRPr="00EE7F41">
        <w:rPr>
          <w:rStyle w:val="hps"/>
          <w:sz w:val="22"/>
          <w:szCs w:val="22"/>
        </w:rPr>
        <w:t>to have a system</w:t>
      </w:r>
      <w:r w:rsidR="00156FD5">
        <w:rPr>
          <w:rStyle w:val="hps"/>
          <w:sz w:val="22"/>
          <w:szCs w:val="22"/>
          <w:lang w:val="id-ID"/>
        </w:rPr>
        <w:t xml:space="preserve"> </w:t>
      </w:r>
      <w:r w:rsidRPr="00EE7F41">
        <w:rPr>
          <w:rStyle w:val="hps"/>
          <w:sz w:val="22"/>
          <w:szCs w:val="22"/>
        </w:rPr>
        <w:t>of</w:t>
      </w:r>
      <w:r w:rsidR="00156FD5">
        <w:rPr>
          <w:rStyle w:val="hps"/>
          <w:sz w:val="22"/>
          <w:szCs w:val="22"/>
          <w:lang w:val="id-ID"/>
        </w:rPr>
        <w:t xml:space="preserve"> </w:t>
      </w:r>
      <w:r w:rsidRPr="00EE7F41">
        <w:rPr>
          <w:rStyle w:val="hps"/>
          <w:sz w:val="22"/>
          <w:szCs w:val="22"/>
        </w:rPr>
        <w:t>evaluation to</w:t>
      </w:r>
      <w:r w:rsidR="00156FD5">
        <w:rPr>
          <w:rStyle w:val="hps"/>
          <w:sz w:val="22"/>
          <w:szCs w:val="22"/>
          <w:lang w:val="id-ID"/>
        </w:rPr>
        <w:t xml:space="preserve"> </w:t>
      </w:r>
      <w:r w:rsidRPr="00EE7F41">
        <w:rPr>
          <w:rStyle w:val="hps"/>
          <w:sz w:val="22"/>
          <w:szCs w:val="22"/>
        </w:rPr>
        <w:t>measure the</w:t>
      </w:r>
      <w:r w:rsidR="00156FD5">
        <w:rPr>
          <w:rStyle w:val="hps"/>
          <w:sz w:val="22"/>
          <w:szCs w:val="22"/>
          <w:lang w:val="id-ID"/>
        </w:rPr>
        <w:t xml:space="preserve"> </w:t>
      </w:r>
      <w:r w:rsidRPr="00EE7F41">
        <w:rPr>
          <w:rStyle w:val="hps"/>
          <w:sz w:val="22"/>
          <w:szCs w:val="22"/>
        </w:rPr>
        <w:t>efficiency of the units</w:t>
      </w:r>
      <w:r w:rsidRPr="00EE7F41">
        <w:rPr>
          <w:sz w:val="22"/>
          <w:szCs w:val="22"/>
        </w:rPr>
        <w:t xml:space="preserve">. </w:t>
      </w:r>
      <w:r w:rsidRPr="00EE7F41">
        <w:rPr>
          <w:rFonts w:eastAsia="Times New Roman"/>
          <w:sz w:val="22"/>
          <w:szCs w:val="22"/>
          <w:lang w:eastAsia="id-ID"/>
        </w:rPr>
        <w:t>Efficiency is the capacity to produce maximum results with minimum resources</w:t>
      </w:r>
      <w:r w:rsidR="007B231B" w:rsidRPr="007B231B">
        <w:rPr>
          <w:rFonts w:eastAsia="Times New Roman"/>
          <w:sz w:val="22"/>
          <w:szCs w:val="22"/>
          <w:vertAlign w:val="superscript"/>
          <w:lang w:val="id-ID" w:eastAsia="id-ID"/>
        </w:rPr>
        <w:t>5</w:t>
      </w:r>
      <w:r w:rsidRPr="00EE7F41">
        <w:rPr>
          <w:rFonts w:eastAsia="Times New Roman"/>
          <w:sz w:val="22"/>
          <w:szCs w:val="22"/>
          <w:lang w:eastAsia="id-ID"/>
        </w:rPr>
        <w:t xml:space="preserve">. </w:t>
      </w:r>
      <w:r w:rsidRPr="00EE7F41">
        <w:rPr>
          <w:sz w:val="22"/>
          <w:szCs w:val="22"/>
        </w:rPr>
        <w:t>Data Envelopment Analysis (DEA) is also used to assess the efficiency of the 25 best U.S. universities</w:t>
      </w:r>
      <w:r w:rsidR="007B231B" w:rsidRPr="007B231B">
        <w:rPr>
          <w:sz w:val="22"/>
          <w:szCs w:val="22"/>
          <w:vertAlign w:val="superscript"/>
          <w:lang w:val="id-ID"/>
        </w:rPr>
        <w:t>6</w:t>
      </w:r>
      <w:r w:rsidRPr="00EE7F41">
        <w:rPr>
          <w:sz w:val="22"/>
          <w:szCs w:val="22"/>
        </w:rPr>
        <w:t xml:space="preserve"> and showed that DEA is the correct method for measuring the </w:t>
      </w:r>
    </w:p>
    <w:p w:rsidR="00EE7F41" w:rsidRPr="00474E86" w:rsidRDefault="00EE7F41" w:rsidP="00474E86">
      <w:pPr>
        <w:rPr>
          <w:sz w:val="22"/>
          <w:szCs w:val="22"/>
          <w:lang w:val="id-ID"/>
        </w:rPr>
      </w:pPr>
      <w:r w:rsidRPr="00EE7F41">
        <w:rPr>
          <w:sz w:val="22"/>
          <w:szCs w:val="22"/>
        </w:rPr>
        <w:t>efficiency of higher education. DEA method is also used in the calculation of the efficiency of several universities in Norway in 1994, 1995 and 1996</w:t>
      </w:r>
      <w:r w:rsidR="007B231B" w:rsidRPr="007B231B">
        <w:rPr>
          <w:sz w:val="22"/>
          <w:szCs w:val="22"/>
          <w:vertAlign w:val="superscript"/>
          <w:lang w:val="id-ID"/>
        </w:rPr>
        <w:t>7</w:t>
      </w:r>
      <w:r w:rsidRPr="00EE7F41">
        <w:rPr>
          <w:sz w:val="22"/>
          <w:szCs w:val="22"/>
        </w:rPr>
        <w:t xml:space="preserve">. The evaluation way efficiency of universities is essential in the allocation and </w:t>
      </w:r>
      <w:r w:rsidRPr="00EE7F41">
        <w:rPr>
          <w:sz w:val="22"/>
          <w:szCs w:val="22"/>
        </w:rPr>
        <w:lastRenderedPageBreak/>
        <w:t>effective use of educational resources</w:t>
      </w:r>
      <w:r w:rsidR="007B231B" w:rsidRPr="007B231B">
        <w:rPr>
          <w:sz w:val="22"/>
          <w:szCs w:val="22"/>
          <w:vertAlign w:val="superscript"/>
          <w:lang w:val="id-ID"/>
        </w:rPr>
        <w:t>8</w:t>
      </w:r>
      <w:r w:rsidRPr="00EE7F41">
        <w:rPr>
          <w:sz w:val="22"/>
          <w:szCs w:val="22"/>
        </w:rPr>
        <w:t xml:space="preserve"> for which there is wide variety of measurement techniques parametric and nonparametric (DEA). </w:t>
      </w:r>
      <w:r w:rsidRPr="00EE7F41">
        <w:rPr>
          <w:rFonts w:eastAsia="Times New Roman"/>
          <w:sz w:val="22"/>
          <w:szCs w:val="22"/>
          <w:lang w:eastAsia="id-ID"/>
        </w:rPr>
        <w:t>Institutions of higher education, and nonprofit organizations need to make changes in their organizational structures that lend their decision centers of modern and innovative management techniques that improve resource allocation and effectively contribute to the process of making decisions; able to provide profitability measures with which resources are invested, considering that in those entities, the objectives are not merely economic and profitability concept differs from that used in the business world. As such, it is a relative term: to be established by comparing dependencies or a pattern. A method to quantify the efficiency is data envelopment analysis (Data Envelopment Analysis or DEA). This technique has its origins in the article Charnes, Cooper and Rhodes</w:t>
      </w:r>
      <w:r w:rsidR="00474E86" w:rsidRPr="00474E86">
        <w:rPr>
          <w:rFonts w:eastAsia="Times New Roman"/>
          <w:sz w:val="22"/>
          <w:szCs w:val="22"/>
          <w:vertAlign w:val="superscript"/>
          <w:lang w:val="id-ID" w:eastAsia="id-ID"/>
        </w:rPr>
        <w:t>9</w:t>
      </w:r>
      <w:r w:rsidRPr="00EE7F41">
        <w:rPr>
          <w:rFonts w:eastAsia="Times New Roman"/>
          <w:sz w:val="22"/>
          <w:szCs w:val="22"/>
          <w:lang w:eastAsia="id-ID"/>
        </w:rPr>
        <w:t xml:space="preserve"> and is based on the notion of relative efficiency introduced by Farrell</w:t>
      </w:r>
      <w:r w:rsidR="00474E86" w:rsidRPr="00474E86">
        <w:rPr>
          <w:rFonts w:eastAsia="Times New Roman"/>
          <w:sz w:val="22"/>
          <w:szCs w:val="22"/>
          <w:vertAlign w:val="superscript"/>
          <w:lang w:val="id-ID" w:eastAsia="id-ID"/>
        </w:rPr>
        <w:t>10</w:t>
      </w:r>
      <w:r w:rsidRPr="00EE7F41">
        <w:rPr>
          <w:rFonts w:eastAsia="Times New Roman"/>
          <w:sz w:val="22"/>
          <w:szCs w:val="22"/>
          <w:lang w:eastAsia="id-ID"/>
        </w:rPr>
        <w:t xml:space="preserve">. </w:t>
      </w:r>
      <w:r w:rsidR="00E0722C">
        <w:rPr>
          <w:rFonts w:eastAsia="Times New Roman"/>
          <w:sz w:val="22"/>
          <w:szCs w:val="22"/>
          <w:lang w:eastAsia="id-ID"/>
        </w:rPr>
        <w:t>Because of this reason</w:t>
      </w:r>
      <w:r w:rsidRPr="00EE7F41">
        <w:rPr>
          <w:rFonts w:eastAsia="Times New Roman"/>
          <w:sz w:val="22"/>
          <w:szCs w:val="22"/>
          <w:lang w:eastAsia="id-ID"/>
        </w:rPr>
        <w:t xml:space="preserve"> </w:t>
      </w:r>
      <w:r w:rsidR="00E0722C">
        <w:rPr>
          <w:rFonts w:eastAsia="Times New Roman"/>
          <w:sz w:val="22"/>
          <w:szCs w:val="22"/>
          <w:lang w:eastAsia="id-ID"/>
        </w:rPr>
        <w:t xml:space="preserve">the </w:t>
      </w:r>
      <w:r w:rsidRPr="00EE7F41">
        <w:rPr>
          <w:rFonts w:eastAsia="Times New Roman"/>
          <w:sz w:val="22"/>
          <w:szCs w:val="22"/>
          <w:lang w:eastAsia="id-ID"/>
        </w:rPr>
        <w:t xml:space="preserve">work </w:t>
      </w:r>
      <w:r w:rsidR="00E0722C">
        <w:rPr>
          <w:rFonts w:eastAsia="Times New Roman"/>
          <w:sz w:val="22"/>
          <w:szCs w:val="22"/>
          <w:lang w:eastAsia="id-ID"/>
        </w:rPr>
        <w:t xml:space="preserve">of </w:t>
      </w:r>
      <w:r w:rsidRPr="00EE7F41">
        <w:rPr>
          <w:rFonts w:eastAsia="Times New Roman"/>
          <w:sz w:val="22"/>
          <w:szCs w:val="22"/>
          <w:lang w:eastAsia="id-ID"/>
        </w:rPr>
        <w:t xml:space="preserve">the efficiency of </w:t>
      </w:r>
      <w:r w:rsidRPr="00EE7F41">
        <w:rPr>
          <w:rStyle w:val="hps"/>
          <w:sz w:val="22"/>
          <w:szCs w:val="22"/>
        </w:rPr>
        <w:t>Indonesian Education Universities</w:t>
      </w:r>
      <w:r w:rsidR="00DF20C0">
        <w:rPr>
          <w:rStyle w:val="hps"/>
          <w:sz w:val="22"/>
          <w:szCs w:val="22"/>
          <w:lang w:val="id-ID"/>
        </w:rPr>
        <w:t xml:space="preserve"> in the </w:t>
      </w:r>
      <w:r w:rsidRPr="00EE7F41">
        <w:rPr>
          <w:rStyle w:val="Emphasis"/>
          <w:i w:val="0"/>
          <w:sz w:val="22"/>
          <w:szCs w:val="22"/>
        </w:rPr>
        <w:t xml:space="preserve">year </w:t>
      </w:r>
      <w:r w:rsidR="00DF20C0">
        <w:rPr>
          <w:rStyle w:val="Emphasis"/>
          <w:i w:val="0"/>
          <w:sz w:val="22"/>
          <w:szCs w:val="22"/>
          <w:lang w:val="id-ID"/>
        </w:rPr>
        <w:t xml:space="preserve">between </w:t>
      </w:r>
      <w:r w:rsidRPr="00EE7F41">
        <w:rPr>
          <w:rFonts w:eastAsia="Times New Roman"/>
          <w:sz w:val="22"/>
          <w:szCs w:val="22"/>
          <w:lang w:eastAsia="id-ID"/>
        </w:rPr>
        <w:t>2010-2012 is analyzed, using the DEA.</w:t>
      </w:r>
    </w:p>
    <w:p w:rsidR="00EE7F41" w:rsidRPr="00EE7F41" w:rsidRDefault="00EE7F41" w:rsidP="00EE7F41">
      <w:pPr>
        <w:ind w:firstLine="720"/>
        <w:rPr>
          <w:rFonts w:eastAsia="Times New Roman"/>
          <w:sz w:val="22"/>
          <w:szCs w:val="22"/>
          <w:lang w:eastAsia="id-ID"/>
        </w:rPr>
      </w:pPr>
      <w:r w:rsidRPr="00EE7F41">
        <w:rPr>
          <w:sz w:val="22"/>
          <w:szCs w:val="22"/>
        </w:rPr>
        <w:t xml:space="preserve">This paper is organized as follows. In the first section the overall picture of the education sector which requires public universities to improve their performance is presented. In the second section the concepts, types and methods of estimating efficiency is indicated, the methodology adopted follows, referring to the model, sample inputs (inputs) and products (outputs) used. The results obtained are shown in the third section. Finally, </w:t>
      </w:r>
      <w:r w:rsidR="00DF20C0">
        <w:rPr>
          <w:sz w:val="22"/>
          <w:szCs w:val="22"/>
          <w:lang w:val="id-ID"/>
        </w:rPr>
        <w:t xml:space="preserve">this report will be ended with </w:t>
      </w:r>
      <w:r w:rsidRPr="00EE7F41">
        <w:rPr>
          <w:sz w:val="22"/>
          <w:szCs w:val="22"/>
        </w:rPr>
        <w:t>conclusions and recommendations.</w:t>
      </w:r>
    </w:p>
    <w:p w:rsidR="00EE7F41" w:rsidRPr="00EE7F41" w:rsidRDefault="00EE7F41" w:rsidP="00EE7F41">
      <w:pPr>
        <w:spacing w:line="240" w:lineRule="exact"/>
        <w:ind w:firstLineChars="150" w:firstLine="330"/>
        <w:rPr>
          <w:sz w:val="22"/>
          <w:szCs w:val="22"/>
          <w:lang w:val="id-ID"/>
        </w:rPr>
      </w:pPr>
    </w:p>
    <w:p w:rsidR="00EE7F41" w:rsidRPr="00EE7F41" w:rsidRDefault="00EE7F41" w:rsidP="00EE7F41">
      <w:pPr>
        <w:spacing w:after="240"/>
        <w:jc w:val="left"/>
        <w:rPr>
          <w:rFonts w:eastAsia="Times New Roman"/>
          <w:b/>
          <w:sz w:val="22"/>
          <w:szCs w:val="22"/>
          <w:lang w:eastAsia="id-ID"/>
        </w:rPr>
      </w:pPr>
      <w:r w:rsidRPr="007549B8">
        <w:rPr>
          <w:b/>
          <w:bCs/>
          <w:color w:val="000000"/>
          <w:kern w:val="0"/>
          <w:sz w:val="22"/>
          <w:szCs w:val="22"/>
        </w:rPr>
        <w:t>2</w:t>
      </w:r>
      <w:r>
        <w:rPr>
          <w:rFonts w:hint="eastAsia"/>
          <w:b/>
          <w:bCs/>
          <w:color w:val="000000"/>
          <w:kern w:val="0"/>
          <w:sz w:val="22"/>
          <w:szCs w:val="22"/>
        </w:rPr>
        <w:t>.</w:t>
      </w:r>
      <w:r w:rsidRPr="007549B8">
        <w:rPr>
          <w:b/>
          <w:bCs/>
          <w:color w:val="000000"/>
          <w:kern w:val="0"/>
          <w:sz w:val="22"/>
          <w:szCs w:val="22"/>
        </w:rPr>
        <w:t xml:space="preserve"> </w:t>
      </w:r>
      <w:r w:rsidRPr="00EE7F41">
        <w:rPr>
          <w:rFonts w:eastAsia="Times New Roman"/>
          <w:b/>
          <w:sz w:val="22"/>
          <w:szCs w:val="22"/>
          <w:lang w:eastAsia="id-ID"/>
        </w:rPr>
        <w:t>CONSEPTS, TYPES, AND METHODS</w:t>
      </w:r>
    </w:p>
    <w:p w:rsidR="00DF20C0" w:rsidRPr="00DF20C0" w:rsidRDefault="00DF20C0" w:rsidP="00DF20C0">
      <w:pPr>
        <w:ind w:firstLine="720"/>
        <w:rPr>
          <w:sz w:val="22"/>
          <w:szCs w:val="22"/>
        </w:rPr>
      </w:pPr>
      <w:r w:rsidRPr="00DF20C0">
        <w:rPr>
          <w:bCs/>
          <w:color w:val="000000"/>
          <w:kern w:val="0"/>
          <w:sz w:val="22"/>
          <w:szCs w:val="22"/>
          <w:lang w:val="id-ID"/>
        </w:rPr>
        <w:t>M</w:t>
      </w:r>
      <w:r w:rsidRPr="00DF20C0">
        <w:rPr>
          <w:sz w:val="22"/>
          <w:szCs w:val="22"/>
        </w:rPr>
        <w:t xml:space="preserve">ethodology consists of four phases: In the first phase of field research and documentation to obtain database and concepts, theories, and background relevant to the measurement of </w:t>
      </w:r>
      <w:r w:rsidR="00156FD5" w:rsidRPr="00DF20C0">
        <w:rPr>
          <w:sz w:val="22"/>
          <w:szCs w:val="22"/>
        </w:rPr>
        <w:t>efficiency</w:t>
      </w:r>
      <w:r w:rsidRPr="00DF20C0">
        <w:rPr>
          <w:sz w:val="22"/>
          <w:szCs w:val="22"/>
        </w:rPr>
        <w:t xml:space="preserve"> via DEA. In the second phase the variables objects of study are chosen in response to the data. In the third phase of the data processing it is done. Subsequently, in the fourth phase, analysis of the results is made and the conclusions of the investigation are made. The data used in this work are: (1) the number of student, (2) the number of academic staff, (3) the number of administration staff, (4) the </w:t>
      </w:r>
      <w:r w:rsidR="00156FD5" w:rsidRPr="00DF20C0">
        <w:rPr>
          <w:sz w:val="22"/>
          <w:szCs w:val="22"/>
        </w:rPr>
        <w:t>amount</w:t>
      </w:r>
      <w:r w:rsidRPr="00DF20C0">
        <w:rPr>
          <w:sz w:val="22"/>
          <w:szCs w:val="22"/>
        </w:rPr>
        <w:t xml:space="preserve"> of university funding, (5) the number of study program, (6) the number of Doctor, (7) the number research funded, (8) the number of </w:t>
      </w:r>
      <w:r w:rsidR="00D51399" w:rsidRPr="00DF20C0">
        <w:rPr>
          <w:sz w:val="22"/>
          <w:szCs w:val="22"/>
        </w:rPr>
        <w:t>journal</w:t>
      </w:r>
      <w:r w:rsidRPr="00DF20C0">
        <w:rPr>
          <w:sz w:val="22"/>
          <w:szCs w:val="22"/>
        </w:rPr>
        <w:t xml:space="preserve"> and book published, (9) the number of community service, (10) the number of graduated student during one academic year (11) the number of accredited study programs, and (12) the number of patent. All of the data were taken from the Institution Accreditation Report for year 2010, 2011 and 2012 and University annual report.</w:t>
      </w:r>
      <w:r w:rsidR="00156FD5">
        <w:rPr>
          <w:sz w:val="22"/>
          <w:szCs w:val="22"/>
          <w:lang w:val="id-ID"/>
        </w:rPr>
        <w:t xml:space="preserve"> </w:t>
      </w:r>
      <w:r w:rsidRPr="00DF20C0">
        <w:rPr>
          <w:sz w:val="22"/>
          <w:szCs w:val="22"/>
        </w:rPr>
        <w:t>In this study The DEAP software has been used because this software has an output orientation and it is well known that the orientation employed affects the results in terms of returns to scale</w:t>
      </w:r>
      <w:r w:rsidR="00474E86" w:rsidRPr="00474E86">
        <w:rPr>
          <w:sz w:val="22"/>
          <w:szCs w:val="22"/>
          <w:vertAlign w:val="superscript"/>
          <w:lang w:val="id-ID"/>
        </w:rPr>
        <w:t>1</w:t>
      </w:r>
      <w:r w:rsidR="00474E86">
        <w:rPr>
          <w:sz w:val="22"/>
          <w:szCs w:val="22"/>
          <w:vertAlign w:val="superscript"/>
          <w:lang w:val="id-ID"/>
        </w:rPr>
        <w:t>1, 12</w:t>
      </w:r>
      <w:r w:rsidRPr="00DF20C0">
        <w:rPr>
          <w:sz w:val="22"/>
          <w:szCs w:val="22"/>
        </w:rPr>
        <w:t>.</w:t>
      </w:r>
      <w:r w:rsidR="00474E86">
        <w:rPr>
          <w:sz w:val="22"/>
          <w:szCs w:val="22"/>
          <w:lang w:val="id-ID"/>
        </w:rPr>
        <w:t xml:space="preserve"> </w:t>
      </w:r>
      <w:r w:rsidRPr="00DF20C0">
        <w:rPr>
          <w:rStyle w:val="hps"/>
          <w:sz w:val="22"/>
          <w:szCs w:val="22"/>
        </w:rPr>
        <w:t>Efficiency values</w:t>
      </w:r>
      <w:r w:rsidR="00474E86">
        <w:rPr>
          <w:rStyle w:val="hps"/>
          <w:sz w:val="22"/>
          <w:szCs w:val="22"/>
          <w:lang w:val="id-ID"/>
        </w:rPr>
        <w:t xml:space="preserve"> </w:t>
      </w:r>
      <w:r w:rsidRPr="00DF20C0">
        <w:rPr>
          <w:rStyle w:val="hps"/>
          <w:sz w:val="22"/>
          <w:szCs w:val="22"/>
        </w:rPr>
        <w:t>​​are calculated using the</w:t>
      </w:r>
      <w:r>
        <w:rPr>
          <w:rStyle w:val="hps"/>
          <w:sz w:val="22"/>
          <w:szCs w:val="22"/>
          <w:lang w:val="id-ID"/>
        </w:rPr>
        <w:t xml:space="preserve"> </w:t>
      </w:r>
      <w:r w:rsidRPr="00DF20C0">
        <w:rPr>
          <w:rStyle w:val="hps"/>
          <w:sz w:val="22"/>
          <w:szCs w:val="22"/>
        </w:rPr>
        <w:t>CCR</w:t>
      </w:r>
      <w:r>
        <w:rPr>
          <w:rStyle w:val="hps"/>
          <w:sz w:val="22"/>
          <w:szCs w:val="22"/>
          <w:lang w:val="id-ID"/>
        </w:rPr>
        <w:t xml:space="preserve"> </w:t>
      </w:r>
      <w:r w:rsidRPr="00DF20C0">
        <w:rPr>
          <w:rStyle w:val="hps"/>
          <w:sz w:val="22"/>
          <w:szCs w:val="22"/>
        </w:rPr>
        <w:t>model</w:t>
      </w:r>
      <w:r>
        <w:rPr>
          <w:rStyle w:val="hps"/>
          <w:sz w:val="22"/>
          <w:szCs w:val="22"/>
          <w:lang w:val="id-ID"/>
        </w:rPr>
        <w:t xml:space="preserve"> </w:t>
      </w:r>
      <w:r w:rsidRPr="00DF20C0">
        <w:rPr>
          <w:sz w:val="22"/>
          <w:szCs w:val="22"/>
        </w:rPr>
        <w:t xml:space="preserve">developed by </w:t>
      </w:r>
      <w:r w:rsidRPr="00DF20C0">
        <w:rPr>
          <w:rStyle w:val="hps"/>
          <w:sz w:val="22"/>
          <w:szCs w:val="22"/>
        </w:rPr>
        <w:t>oriented</w:t>
      </w:r>
      <w:r>
        <w:rPr>
          <w:rStyle w:val="hps"/>
          <w:sz w:val="22"/>
          <w:szCs w:val="22"/>
          <w:lang w:val="id-ID"/>
        </w:rPr>
        <w:t xml:space="preserve"> </w:t>
      </w:r>
      <w:r w:rsidRPr="00DF20C0">
        <w:rPr>
          <w:rStyle w:val="hps"/>
          <w:sz w:val="22"/>
          <w:szCs w:val="22"/>
        </w:rPr>
        <w:t>Input</w:t>
      </w:r>
      <w:r w:rsidRPr="00DF20C0">
        <w:rPr>
          <w:sz w:val="22"/>
          <w:szCs w:val="22"/>
        </w:rPr>
        <w:t>.</w:t>
      </w:r>
    </w:p>
    <w:p w:rsidR="00DF20C0" w:rsidRDefault="00DF20C0" w:rsidP="00DF20C0">
      <w:pPr>
        <w:overflowPunct w:val="0"/>
        <w:autoSpaceDE w:val="0"/>
        <w:autoSpaceDN w:val="0"/>
        <w:adjustRightInd w:val="0"/>
        <w:rPr>
          <w:sz w:val="22"/>
          <w:szCs w:val="22"/>
          <w:lang w:val="id-ID"/>
        </w:rPr>
      </w:pPr>
    </w:p>
    <w:p w:rsidR="00D51399" w:rsidRPr="00D51399" w:rsidRDefault="00D51399" w:rsidP="00D51399">
      <w:pPr>
        <w:spacing w:after="240" w:line="240" w:lineRule="exact"/>
        <w:rPr>
          <w:b/>
          <w:sz w:val="22"/>
          <w:szCs w:val="22"/>
        </w:rPr>
      </w:pPr>
      <w:r>
        <w:rPr>
          <w:b/>
          <w:bCs/>
          <w:color w:val="000000"/>
          <w:kern w:val="0"/>
          <w:sz w:val="22"/>
          <w:szCs w:val="22"/>
        </w:rPr>
        <w:lastRenderedPageBreak/>
        <w:t>3.</w:t>
      </w:r>
      <w:r w:rsidRPr="00D51399">
        <w:rPr>
          <w:rStyle w:val="hps"/>
          <w:b/>
          <w:sz w:val="22"/>
          <w:szCs w:val="22"/>
        </w:rPr>
        <w:t xml:space="preserve"> INTERPRETATION OF THE RESULTS</w:t>
      </w:r>
    </w:p>
    <w:p w:rsidR="00BE44FE" w:rsidRPr="00BE44FE" w:rsidRDefault="00D51399" w:rsidP="00D51399">
      <w:pPr>
        <w:ind w:firstLineChars="200" w:firstLine="440"/>
        <w:rPr>
          <w:rStyle w:val="hps"/>
          <w:sz w:val="22"/>
          <w:szCs w:val="22"/>
        </w:rPr>
      </w:pPr>
      <w:r>
        <w:rPr>
          <w:sz w:val="22"/>
          <w:szCs w:val="22"/>
          <w:lang w:val="id-ID"/>
        </w:rPr>
        <w:t xml:space="preserve">Figure </w:t>
      </w:r>
      <w:r w:rsidR="00BE44FE" w:rsidRPr="00BE44FE">
        <w:rPr>
          <w:sz w:val="22"/>
          <w:szCs w:val="22"/>
        </w:rPr>
        <w:t xml:space="preserve">1 below shows data </w:t>
      </w:r>
      <w:r w:rsidRPr="00BE44FE">
        <w:rPr>
          <w:sz w:val="22"/>
          <w:szCs w:val="22"/>
        </w:rPr>
        <w:t>imputed</w:t>
      </w:r>
      <w:r w:rsidR="00BE44FE" w:rsidRPr="00BE44FE">
        <w:rPr>
          <w:sz w:val="22"/>
          <w:szCs w:val="22"/>
        </w:rPr>
        <w:t xml:space="preserve"> in the EMS software that were obtained from official sources about the input and output variables needed in the assessment of the efficiency of a university.</w:t>
      </w:r>
    </w:p>
    <w:p w:rsidR="00BE44FE" w:rsidRDefault="00BE44FE" w:rsidP="00BE44FE">
      <w:pPr>
        <w:ind w:firstLineChars="200" w:firstLine="440"/>
        <w:rPr>
          <w:sz w:val="22"/>
          <w:szCs w:val="22"/>
          <w:lang w:val="id-ID"/>
        </w:rPr>
      </w:pPr>
    </w:p>
    <w:p w:rsidR="00BE44FE" w:rsidRPr="00BE44FE" w:rsidRDefault="00BE44FE" w:rsidP="00BE44FE">
      <w:pPr>
        <w:ind w:firstLineChars="200" w:firstLine="420"/>
        <w:jc w:val="center"/>
        <w:rPr>
          <w:sz w:val="22"/>
          <w:szCs w:val="22"/>
          <w:lang w:val="id-ID"/>
        </w:rPr>
      </w:pPr>
      <w:r>
        <w:rPr>
          <w:noProof/>
          <w:lang w:eastAsia="en-US"/>
        </w:rPr>
        <w:drawing>
          <wp:inline distT="0" distB="0" distL="0" distR="0">
            <wp:extent cx="3000375" cy="2105025"/>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04905" cy="2108203"/>
                    </a:xfrm>
                    <a:prstGeom prst="rect">
                      <a:avLst/>
                    </a:prstGeom>
                    <a:noFill/>
                    <a:ln w="9525">
                      <a:noFill/>
                      <a:miter lim="800000"/>
                      <a:headEnd/>
                      <a:tailEnd/>
                    </a:ln>
                  </pic:spPr>
                </pic:pic>
              </a:graphicData>
            </a:graphic>
          </wp:inline>
        </w:drawing>
      </w:r>
    </w:p>
    <w:p w:rsidR="00BE44FE" w:rsidRDefault="00BE44FE" w:rsidP="00DF20C0">
      <w:pPr>
        <w:ind w:firstLineChars="200" w:firstLine="440"/>
        <w:rPr>
          <w:sz w:val="22"/>
          <w:szCs w:val="22"/>
          <w:lang w:val="id-ID"/>
        </w:rPr>
      </w:pPr>
    </w:p>
    <w:p w:rsidR="00BE44FE" w:rsidRPr="00BE44FE" w:rsidRDefault="00BE44FE" w:rsidP="00BE44FE">
      <w:pPr>
        <w:jc w:val="center"/>
        <w:rPr>
          <w:sz w:val="22"/>
          <w:szCs w:val="22"/>
        </w:rPr>
      </w:pPr>
      <w:r w:rsidRPr="00BE44FE">
        <w:rPr>
          <w:sz w:val="22"/>
          <w:szCs w:val="22"/>
        </w:rPr>
        <w:t>Fig 1. User Interface of EMS Software</w:t>
      </w:r>
    </w:p>
    <w:p w:rsidR="00BE44FE" w:rsidRDefault="00BE44FE" w:rsidP="00BE44FE">
      <w:pPr>
        <w:rPr>
          <w:rStyle w:val="hps"/>
          <w:sz w:val="22"/>
          <w:szCs w:val="22"/>
          <w:lang w:val="id-ID"/>
        </w:rPr>
      </w:pPr>
    </w:p>
    <w:p w:rsidR="00BE44FE" w:rsidRPr="00BE44FE" w:rsidRDefault="004634ED" w:rsidP="00BE44FE">
      <w:pPr>
        <w:ind w:firstLine="440"/>
        <w:rPr>
          <w:sz w:val="22"/>
          <w:szCs w:val="22"/>
        </w:rPr>
      </w:pPr>
      <w:r>
        <w:rPr>
          <w:rStyle w:val="hps"/>
          <w:sz w:val="22"/>
          <w:szCs w:val="22"/>
          <w:lang w:val="id-ID"/>
        </w:rPr>
        <w:t xml:space="preserve">Table </w:t>
      </w:r>
      <w:r w:rsidR="00BE44FE" w:rsidRPr="00BE44FE">
        <w:rPr>
          <w:rStyle w:val="hps"/>
          <w:sz w:val="22"/>
          <w:szCs w:val="22"/>
        </w:rPr>
        <w:t>1 shows an example of the information obtained in field research and documentary data entry software in the columns headed-Variables of</w:t>
      </w:r>
      <w:r w:rsidR="00BE44FE" w:rsidRPr="00BE44FE">
        <w:rPr>
          <w:sz w:val="22"/>
          <w:szCs w:val="22"/>
        </w:rPr>
        <w:t xml:space="preserve"> the input </w:t>
      </w:r>
      <w:r w:rsidR="00BE44FE" w:rsidRPr="00BE44FE">
        <w:rPr>
          <w:rStyle w:val="hps"/>
          <w:sz w:val="22"/>
          <w:szCs w:val="22"/>
        </w:rPr>
        <w:t xml:space="preserve">and Variables of the </w:t>
      </w:r>
      <w:r w:rsidR="00BE44FE" w:rsidRPr="00BE44FE">
        <w:rPr>
          <w:sz w:val="22"/>
          <w:szCs w:val="22"/>
        </w:rPr>
        <w:t xml:space="preserve">output. Calculation to obtain the level of efficiency of the University Education in Indonesia performed using EMS software and this software </w:t>
      </w:r>
      <w:r w:rsidR="00D51399" w:rsidRPr="00BE44FE">
        <w:rPr>
          <w:sz w:val="22"/>
          <w:szCs w:val="22"/>
        </w:rPr>
        <w:t>capable</w:t>
      </w:r>
      <w:r w:rsidR="00BE44FE" w:rsidRPr="00BE44FE">
        <w:rPr>
          <w:sz w:val="22"/>
          <w:szCs w:val="22"/>
        </w:rPr>
        <w:t xml:space="preserve"> in calculating several types of DEA method.</w:t>
      </w:r>
      <w:r w:rsidRPr="004634ED">
        <w:rPr>
          <w:sz w:val="22"/>
          <w:szCs w:val="22"/>
        </w:rPr>
        <w:t xml:space="preserve"> </w:t>
      </w:r>
      <w:r w:rsidRPr="00D51399">
        <w:rPr>
          <w:sz w:val="22"/>
          <w:szCs w:val="22"/>
        </w:rPr>
        <w:t>The twelve variables are the basis for the calculations, and those are the number of student, the number of academic staff, the number of administration staff, the amount of university funding, the number of study program, the number of Doctor as the input while the number research funded, the number of journal and book published, the number of community service, the number of graduated student during one academic year, the number of accredited study programs, and the number of patent as the output.</w:t>
      </w:r>
    </w:p>
    <w:p w:rsidR="004634ED" w:rsidRDefault="004634ED">
      <w:pPr>
        <w:widowControl/>
        <w:jc w:val="left"/>
        <w:rPr>
          <w:rStyle w:val="hps"/>
        </w:rPr>
      </w:pPr>
      <w:r>
        <w:rPr>
          <w:rStyle w:val="hps"/>
        </w:rPr>
        <w:br w:type="page"/>
      </w:r>
    </w:p>
    <w:p w:rsidR="00BE44FE" w:rsidRPr="002B13F6" w:rsidRDefault="00BE44FE" w:rsidP="00BE44FE">
      <w:pPr>
        <w:jc w:val="center"/>
      </w:pPr>
      <w:r w:rsidRPr="002B13F6">
        <w:rPr>
          <w:rStyle w:val="hps"/>
        </w:rPr>
        <w:lastRenderedPageBreak/>
        <w:t>Table</w:t>
      </w:r>
      <w:r w:rsidR="00D51399">
        <w:rPr>
          <w:rStyle w:val="hps"/>
          <w:lang w:val="id-ID"/>
        </w:rPr>
        <w:t xml:space="preserve"> 1</w:t>
      </w:r>
      <w:r w:rsidRPr="002B13F6">
        <w:rPr>
          <w:rStyle w:val="hps"/>
        </w:rPr>
        <w:t>. Values</w:t>
      </w:r>
      <w:r>
        <w:rPr>
          <w:rStyle w:val="hps"/>
        </w:rPr>
        <w:t xml:space="preserve"> </w:t>
      </w:r>
      <w:r w:rsidRPr="002B13F6">
        <w:rPr>
          <w:rStyle w:val="hps"/>
        </w:rPr>
        <w:t>of</w:t>
      </w:r>
      <w:r>
        <w:rPr>
          <w:rStyle w:val="hps"/>
        </w:rPr>
        <w:t xml:space="preserve"> the </w:t>
      </w:r>
      <w:r w:rsidR="00D51399" w:rsidRPr="002B13F6">
        <w:t>efficiency</w:t>
      </w:r>
      <w:r>
        <w:t xml:space="preserve"> </w:t>
      </w:r>
      <w:r w:rsidRPr="002B13F6">
        <w:rPr>
          <w:rStyle w:val="hps"/>
        </w:rPr>
        <w:t>for 2010-2010 and 2011-2012</w:t>
      </w:r>
    </w:p>
    <w:tbl>
      <w:tblPr>
        <w:tblW w:w="0" w:type="auto"/>
        <w:jc w:val="center"/>
        <w:tblBorders>
          <w:top w:val="single" w:sz="4" w:space="0" w:color="auto"/>
        </w:tblBorders>
        <w:tblLook w:val="04A0" w:firstRow="1" w:lastRow="0" w:firstColumn="1" w:lastColumn="0" w:noHBand="0" w:noVBand="1"/>
      </w:tblPr>
      <w:tblGrid>
        <w:gridCol w:w="321"/>
        <w:gridCol w:w="1305"/>
        <w:gridCol w:w="790"/>
        <w:gridCol w:w="790"/>
        <w:gridCol w:w="790"/>
        <w:gridCol w:w="790"/>
        <w:gridCol w:w="554"/>
      </w:tblGrid>
      <w:tr w:rsidR="00BE44FE" w:rsidRPr="00156FD5" w:rsidTr="00156FD5">
        <w:trPr>
          <w:jc w:val="center"/>
        </w:trPr>
        <w:tc>
          <w:tcPr>
            <w:tcW w:w="0" w:type="auto"/>
            <w:tcBorders>
              <w:top w:val="single" w:sz="4" w:space="0" w:color="auto"/>
              <w:bottom w:val="single" w:sz="4" w:space="0" w:color="auto"/>
            </w:tcBorders>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No</w:t>
            </w:r>
          </w:p>
        </w:tc>
        <w:tc>
          <w:tcPr>
            <w:tcW w:w="1284" w:type="dxa"/>
            <w:tcBorders>
              <w:top w:val="single" w:sz="4" w:space="0" w:color="auto"/>
              <w:bottom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DMU</w:t>
            </w:r>
          </w:p>
        </w:tc>
        <w:tc>
          <w:tcPr>
            <w:tcW w:w="778" w:type="dxa"/>
            <w:tcBorders>
              <w:top w:val="single" w:sz="4" w:space="0" w:color="auto"/>
              <w:bottom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2010</w:t>
            </w:r>
          </w:p>
        </w:tc>
        <w:tc>
          <w:tcPr>
            <w:tcW w:w="0" w:type="auto"/>
            <w:tcBorders>
              <w:top w:val="single" w:sz="4" w:space="0" w:color="auto"/>
              <w:bottom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2011</w:t>
            </w:r>
          </w:p>
        </w:tc>
        <w:tc>
          <w:tcPr>
            <w:tcW w:w="0" w:type="auto"/>
            <w:tcBorders>
              <w:top w:val="single" w:sz="4" w:space="0" w:color="auto"/>
              <w:bottom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2012</w:t>
            </w:r>
          </w:p>
        </w:tc>
        <w:tc>
          <w:tcPr>
            <w:tcW w:w="778" w:type="dxa"/>
            <w:tcBorders>
              <w:top w:val="single" w:sz="4" w:space="0" w:color="auto"/>
              <w:bottom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Mean</w:t>
            </w:r>
          </w:p>
        </w:tc>
        <w:tc>
          <w:tcPr>
            <w:tcW w:w="547" w:type="dxa"/>
            <w:tcBorders>
              <w:top w:val="single" w:sz="4" w:space="0" w:color="auto"/>
              <w:bottom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Rank</w:t>
            </w:r>
          </w:p>
        </w:tc>
      </w:tr>
      <w:tr w:rsidR="00BE44FE" w:rsidRPr="00156FD5" w:rsidTr="00156FD5">
        <w:trPr>
          <w:jc w:val="center"/>
        </w:trPr>
        <w:tc>
          <w:tcPr>
            <w:tcW w:w="0" w:type="auto"/>
            <w:tcBorders>
              <w:top w:val="single" w:sz="4" w:space="0" w:color="auto"/>
            </w:tcBorders>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1</w:t>
            </w:r>
          </w:p>
        </w:tc>
        <w:tc>
          <w:tcPr>
            <w:tcW w:w="1284" w:type="dxa"/>
            <w:tcBorders>
              <w:top w:val="single" w:sz="4" w:space="0" w:color="auto"/>
            </w:tcBorders>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UNIMA MANADO</w:t>
            </w:r>
          </w:p>
        </w:tc>
        <w:tc>
          <w:tcPr>
            <w:tcW w:w="778" w:type="dxa"/>
            <w:tcBorders>
              <w:top w:val="single" w:sz="4" w:space="0" w:color="auto"/>
            </w:tcBorders>
            <w:vAlign w:val="center"/>
          </w:tcPr>
          <w:p w:rsidR="00BE44FE" w:rsidRPr="00156FD5" w:rsidRDefault="00BE44FE" w:rsidP="00156FD5">
            <w:pPr>
              <w:jc w:val="center"/>
              <w:rPr>
                <w:sz w:val="16"/>
                <w:szCs w:val="16"/>
              </w:rPr>
            </w:pPr>
            <w:r w:rsidRPr="00156FD5">
              <w:rPr>
                <w:sz w:val="16"/>
                <w:szCs w:val="16"/>
              </w:rPr>
              <w:t>89.</w:t>
            </w:r>
            <w:r w:rsidRPr="00156FD5">
              <w:rPr>
                <w:sz w:val="16"/>
                <w:szCs w:val="16"/>
                <w:lang w:val="id-ID"/>
              </w:rPr>
              <w:t>3</w:t>
            </w:r>
            <w:r w:rsidRPr="00156FD5">
              <w:rPr>
                <w:sz w:val="16"/>
                <w:szCs w:val="16"/>
              </w:rPr>
              <w:t>%</w:t>
            </w:r>
          </w:p>
        </w:tc>
        <w:tc>
          <w:tcPr>
            <w:tcW w:w="0" w:type="auto"/>
            <w:tcBorders>
              <w:top w:val="single" w:sz="4" w:space="0" w:color="auto"/>
            </w:tcBorders>
            <w:vAlign w:val="center"/>
          </w:tcPr>
          <w:p w:rsidR="00BE44FE" w:rsidRPr="00156FD5" w:rsidRDefault="00BE44FE" w:rsidP="00156FD5">
            <w:pPr>
              <w:jc w:val="center"/>
              <w:rPr>
                <w:sz w:val="16"/>
                <w:szCs w:val="16"/>
              </w:rPr>
            </w:pPr>
            <w:r w:rsidRPr="00156FD5">
              <w:rPr>
                <w:sz w:val="16"/>
                <w:szCs w:val="16"/>
              </w:rPr>
              <w:t>73.3%</w:t>
            </w:r>
          </w:p>
        </w:tc>
        <w:tc>
          <w:tcPr>
            <w:tcW w:w="0" w:type="auto"/>
            <w:tcBorders>
              <w:top w:val="single" w:sz="4" w:space="0" w:color="auto"/>
            </w:tcBorders>
            <w:vAlign w:val="center"/>
          </w:tcPr>
          <w:p w:rsidR="00BE44FE" w:rsidRPr="00156FD5" w:rsidRDefault="00BE44FE" w:rsidP="00156FD5">
            <w:pPr>
              <w:jc w:val="center"/>
              <w:rPr>
                <w:sz w:val="16"/>
                <w:szCs w:val="16"/>
              </w:rPr>
            </w:pPr>
            <w:r w:rsidRPr="00156FD5">
              <w:rPr>
                <w:sz w:val="16"/>
                <w:szCs w:val="16"/>
              </w:rPr>
              <w:t>97.</w:t>
            </w:r>
            <w:r w:rsidRPr="00156FD5">
              <w:rPr>
                <w:sz w:val="16"/>
                <w:szCs w:val="16"/>
                <w:lang w:val="id-ID"/>
              </w:rPr>
              <w:t>7</w:t>
            </w:r>
            <w:r w:rsidRPr="00156FD5">
              <w:rPr>
                <w:sz w:val="16"/>
                <w:szCs w:val="16"/>
              </w:rPr>
              <w:t>%</w:t>
            </w:r>
          </w:p>
        </w:tc>
        <w:tc>
          <w:tcPr>
            <w:tcW w:w="778" w:type="dxa"/>
            <w:tcBorders>
              <w:top w:val="single" w:sz="4" w:space="0" w:color="auto"/>
            </w:tcBorders>
            <w:vAlign w:val="center"/>
          </w:tcPr>
          <w:p w:rsidR="00BE44FE" w:rsidRPr="00156FD5" w:rsidRDefault="00BE44FE" w:rsidP="00156FD5">
            <w:pPr>
              <w:jc w:val="center"/>
              <w:rPr>
                <w:sz w:val="16"/>
                <w:szCs w:val="16"/>
              </w:rPr>
            </w:pPr>
            <w:r w:rsidRPr="00156FD5">
              <w:rPr>
                <w:sz w:val="16"/>
                <w:szCs w:val="16"/>
              </w:rPr>
              <w:t>86.</w:t>
            </w:r>
            <w:r w:rsidRPr="00156FD5">
              <w:rPr>
                <w:sz w:val="16"/>
                <w:szCs w:val="16"/>
                <w:lang w:val="id-ID"/>
              </w:rPr>
              <w:t>8</w:t>
            </w:r>
            <w:r w:rsidRPr="00156FD5">
              <w:rPr>
                <w:sz w:val="16"/>
                <w:szCs w:val="16"/>
              </w:rPr>
              <w:t>%</w:t>
            </w:r>
          </w:p>
        </w:tc>
        <w:tc>
          <w:tcPr>
            <w:tcW w:w="547" w:type="dxa"/>
            <w:tcBorders>
              <w:top w:val="single" w:sz="4" w:space="0" w:color="auto"/>
            </w:tcBorders>
            <w:vAlign w:val="center"/>
          </w:tcPr>
          <w:p w:rsidR="00BE44FE" w:rsidRPr="00156FD5" w:rsidRDefault="00BE44FE" w:rsidP="00156FD5">
            <w:pPr>
              <w:tabs>
                <w:tab w:val="left" w:pos="567"/>
                <w:tab w:val="left" w:pos="851"/>
              </w:tabs>
              <w:jc w:val="center"/>
              <w:rPr>
                <w:sz w:val="16"/>
                <w:szCs w:val="16"/>
              </w:rPr>
            </w:pPr>
            <w:r w:rsidRPr="00156FD5">
              <w:rPr>
                <w:sz w:val="16"/>
                <w:szCs w:val="16"/>
              </w:rPr>
              <w:t>11</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2</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UNDHIKSA SINGARAJA</w:t>
            </w:r>
          </w:p>
        </w:tc>
        <w:tc>
          <w:tcPr>
            <w:tcW w:w="778" w:type="dxa"/>
            <w:vAlign w:val="center"/>
          </w:tcPr>
          <w:p w:rsidR="00BE44FE" w:rsidRPr="00156FD5" w:rsidRDefault="00BE44FE" w:rsidP="00156FD5">
            <w:pPr>
              <w:jc w:val="center"/>
              <w:rPr>
                <w:sz w:val="16"/>
                <w:szCs w:val="16"/>
              </w:rPr>
            </w:pPr>
            <w:r w:rsidRPr="00156FD5">
              <w:rPr>
                <w:sz w:val="16"/>
                <w:szCs w:val="16"/>
              </w:rPr>
              <w:t>92.99%</w:t>
            </w:r>
          </w:p>
        </w:tc>
        <w:tc>
          <w:tcPr>
            <w:tcW w:w="0" w:type="auto"/>
            <w:vAlign w:val="center"/>
          </w:tcPr>
          <w:p w:rsidR="00BE44FE" w:rsidRPr="00156FD5" w:rsidRDefault="00BE44FE" w:rsidP="00156FD5">
            <w:pPr>
              <w:jc w:val="center"/>
              <w:rPr>
                <w:sz w:val="16"/>
                <w:szCs w:val="16"/>
              </w:rPr>
            </w:pPr>
            <w:r w:rsidRPr="00156FD5">
              <w:rPr>
                <w:sz w:val="16"/>
                <w:szCs w:val="16"/>
              </w:rPr>
              <w:t>72.27%</w:t>
            </w:r>
          </w:p>
        </w:tc>
        <w:tc>
          <w:tcPr>
            <w:tcW w:w="0" w:type="auto"/>
            <w:vAlign w:val="center"/>
          </w:tcPr>
          <w:p w:rsidR="00BE44FE" w:rsidRPr="00156FD5" w:rsidRDefault="00BE44FE" w:rsidP="00156FD5">
            <w:pPr>
              <w:jc w:val="center"/>
              <w:rPr>
                <w:sz w:val="16"/>
                <w:szCs w:val="16"/>
              </w:rPr>
            </w:pPr>
            <w:r w:rsidRPr="00156FD5">
              <w:rPr>
                <w:sz w:val="16"/>
                <w:szCs w:val="16"/>
              </w:rPr>
              <w:t>84.71%</w:t>
            </w:r>
          </w:p>
        </w:tc>
        <w:tc>
          <w:tcPr>
            <w:tcW w:w="778" w:type="dxa"/>
            <w:vAlign w:val="center"/>
          </w:tcPr>
          <w:p w:rsidR="00BE44FE" w:rsidRPr="00156FD5" w:rsidRDefault="00BE44FE" w:rsidP="00156FD5">
            <w:pPr>
              <w:jc w:val="center"/>
              <w:rPr>
                <w:sz w:val="16"/>
                <w:szCs w:val="16"/>
              </w:rPr>
            </w:pPr>
            <w:r w:rsidRPr="00156FD5">
              <w:rPr>
                <w:sz w:val="16"/>
                <w:szCs w:val="16"/>
              </w:rPr>
              <w:t>83.32%</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12</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3</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UNIMED MEDAN</w:t>
            </w:r>
          </w:p>
        </w:tc>
        <w:tc>
          <w:tcPr>
            <w:tcW w:w="778" w:type="dxa"/>
            <w:vAlign w:val="center"/>
          </w:tcPr>
          <w:p w:rsidR="00BE44FE" w:rsidRPr="00156FD5" w:rsidRDefault="00BE44FE" w:rsidP="00156FD5">
            <w:pPr>
              <w:jc w:val="center"/>
              <w:rPr>
                <w:sz w:val="16"/>
                <w:szCs w:val="16"/>
              </w:rPr>
            </w:pPr>
            <w:r w:rsidRPr="00156FD5">
              <w:rPr>
                <w:sz w:val="16"/>
                <w:szCs w:val="16"/>
              </w:rPr>
              <w:t>107.48%</w:t>
            </w:r>
          </w:p>
        </w:tc>
        <w:tc>
          <w:tcPr>
            <w:tcW w:w="0" w:type="auto"/>
            <w:vAlign w:val="center"/>
          </w:tcPr>
          <w:p w:rsidR="00BE44FE" w:rsidRPr="00156FD5" w:rsidRDefault="00BE44FE" w:rsidP="00156FD5">
            <w:pPr>
              <w:jc w:val="center"/>
              <w:rPr>
                <w:sz w:val="16"/>
                <w:szCs w:val="16"/>
              </w:rPr>
            </w:pPr>
            <w:r w:rsidRPr="00156FD5">
              <w:rPr>
                <w:sz w:val="16"/>
                <w:szCs w:val="16"/>
              </w:rPr>
              <w:t>99.18%</w:t>
            </w:r>
          </w:p>
        </w:tc>
        <w:tc>
          <w:tcPr>
            <w:tcW w:w="0" w:type="auto"/>
            <w:vAlign w:val="center"/>
          </w:tcPr>
          <w:p w:rsidR="00BE44FE" w:rsidRPr="00156FD5" w:rsidRDefault="00BE44FE" w:rsidP="00156FD5">
            <w:pPr>
              <w:jc w:val="center"/>
              <w:rPr>
                <w:sz w:val="16"/>
                <w:szCs w:val="16"/>
              </w:rPr>
            </w:pPr>
            <w:r w:rsidRPr="00156FD5">
              <w:rPr>
                <w:sz w:val="16"/>
                <w:szCs w:val="16"/>
              </w:rPr>
              <w:t>59.90%</w:t>
            </w:r>
          </w:p>
        </w:tc>
        <w:tc>
          <w:tcPr>
            <w:tcW w:w="778" w:type="dxa"/>
            <w:vAlign w:val="center"/>
          </w:tcPr>
          <w:p w:rsidR="00BE44FE" w:rsidRPr="00156FD5" w:rsidRDefault="00BE44FE" w:rsidP="00156FD5">
            <w:pPr>
              <w:jc w:val="center"/>
              <w:rPr>
                <w:sz w:val="16"/>
                <w:szCs w:val="16"/>
              </w:rPr>
            </w:pPr>
            <w:r w:rsidRPr="00156FD5">
              <w:rPr>
                <w:sz w:val="16"/>
                <w:szCs w:val="16"/>
              </w:rPr>
              <w:t>88.85%</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9</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4</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UNG GORONTALO</w:t>
            </w:r>
          </w:p>
        </w:tc>
        <w:tc>
          <w:tcPr>
            <w:tcW w:w="778" w:type="dxa"/>
            <w:vAlign w:val="center"/>
          </w:tcPr>
          <w:p w:rsidR="00BE44FE" w:rsidRPr="00156FD5" w:rsidRDefault="00BE44FE" w:rsidP="00156FD5">
            <w:pPr>
              <w:jc w:val="center"/>
              <w:rPr>
                <w:sz w:val="16"/>
                <w:szCs w:val="16"/>
              </w:rPr>
            </w:pPr>
            <w:r w:rsidRPr="00156FD5">
              <w:rPr>
                <w:sz w:val="16"/>
                <w:szCs w:val="16"/>
              </w:rPr>
              <w:t>98.78%</w:t>
            </w:r>
          </w:p>
        </w:tc>
        <w:tc>
          <w:tcPr>
            <w:tcW w:w="0" w:type="auto"/>
            <w:vAlign w:val="center"/>
          </w:tcPr>
          <w:p w:rsidR="00BE44FE" w:rsidRPr="00156FD5" w:rsidRDefault="00BE44FE" w:rsidP="00156FD5">
            <w:pPr>
              <w:jc w:val="center"/>
              <w:rPr>
                <w:sz w:val="16"/>
                <w:szCs w:val="16"/>
              </w:rPr>
            </w:pPr>
            <w:r w:rsidRPr="00156FD5">
              <w:rPr>
                <w:sz w:val="16"/>
                <w:szCs w:val="16"/>
              </w:rPr>
              <w:t>141.46%</w:t>
            </w:r>
          </w:p>
        </w:tc>
        <w:tc>
          <w:tcPr>
            <w:tcW w:w="0" w:type="auto"/>
            <w:vAlign w:val="center"/>
          </w:tcPr>
          <w:p w:rsidR="00BE44FE" w:rsidRPr="00156FD5" w:rsidRDefault="00BE44FE" w:rsidP="00156FD5">
            <w:pPr>
              <w:jc w:val="center"/>
              <w:rPr>
                <w:sz w:val="16"/>
                <w:szCs w:val="16"/>
              </w:rPr>
            </w:pPr>
            <w:r w:rsidRPr="00156FD5">
              <w:rPr>
                <w:sz w:val="16"/>
                <w:szCs w:val="16"/>
              </w:rPr>
              <w:t>112.41%</w:t>
            </w:r>
          </w:p>
        </w:tc>
        <w:tc>
          <w:tcPr>
            <w:tcW w:w="778" w:type="dxa"/>
            <w:vAlign w:val="center"/>
          </w:tcPr>
          <w:p w:rsidR="00BE44FE" w:rsidRPr="00156FD5" w:rsidRDefault="00BE44FE" w:rsidP="00156FD5">
            <w:pPr>
              <w:jc w:val="center"/>
              <w:rPr>
                <w:sz w:val="16"/>
                <w:szCs w:val="16"/>
              </w:rPr>
            </w:pPr>
            <w:r w:rsidRPr="00156FD5">
              <w:rPr>
                <w:sz w:val="16"/>
                <w:szCs w:val="16"/>
              </w:rPr>
              <w:t>117.55%</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6</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5</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UNM MAKASAR</w:t>
            </w:r>
          </w:p>
        </w:tc>
        <w:tc>
          <w:tcPr>
            <w:tcW w:w="778" w:type="dxa"/>
            <w:vAlign w:val="center"/>
          </w:tcPr>
          <w:p w:rsidR="00BE44FE" w:rsidRPr="00156FD5" w:rsidRDefault="00BE44FE" w:rsidP="00156FD5">
            <w:pPr>
              <w:jc w:val="center"/>
              <w:rPr>
                <w:sz w:val="16"/>
                <w:szCs w:val="16"/>
              </w:rPr>
            </w:pPr>
            <w:r w:rsidRPr="00156FD5">
              <w:rPr>
                <w:sz w:val="16"/>
                <w:szCs w:val="16"/>
              </w:rPr>
              <w:t>130.68%</w:t>
            </w:r>
          </w:p>
        </w:tc>
        <w:tc>
          <w:tcPr>
            <w:tcW w:w="0" w:type="auto"/>
            <w:vAlign w:val="center"/>
          </w:tcPr>
          <w:p w:rsidR="00BE44FE" w:rsidRPr="00156FD5" w:rsidRDefault="00BE44FE" w:rsidP="00156FD5">
            <w:pPr>
              <w:jc w:val="center"/>
              <w:rPr>
                <w:sz w:val="16"/>
                <w:szCs w:val="16"/>
              </w:rPr>
            </w:pPr>
            <w:r w:rsidRPr="00156FD5">
              <w:rPr>
                <w:sz w:val="16"/>
                <w:szCs w:val="16"/>
              </w:rPr>
              <w:t>87.77%</w:t>
            </w:r>
          </w:p>
        </w:tc>
        <w:tc>
          <w:tcPr>
            <w:tcW w:w="0" w:type="auto"/>
            <w:vAlign w:val="center"/>
          </w:tcPr>
          <w:p w:rsidR="00BE44FE" w:rsidRPr="00156FD5" w:rsidRDefault="00BE44FE" w:rsidP="00156FD5">
            <w:pPr>
              <w:jc w:val="center"/>
              <w:rPr>
                <w:sz w:val="16"/>
                <w:szCs w:val="16"/>
              </w:rPr>
            </w:pPr>
            <w:r w:rsidRPr="00156FD5">
              <w:rPr>
                <w:sz w:val="16"/>
                <w:szCs w:val="16"/>
              </w:rPr>
              <w:t>124.66%</w:t>
            </w:r>
          </w:p>
        </w:tc>
        <w:tc>
          <w:tcPr>
            <w:tcW w:w="778" w:type="dxa"/>
            <w:vAlign w:val="center"/>
          </w:tcPr>
          <w:p w:rsidR="00BE44FE" w:rsidRPr="00156FD5" w:rsidRDefault="00BE44FE" w:rsidP="00156FD5">
            <w:pPr>
              <w:jc w:val="center"/>
              <w:rPr>
                <w:sz w:val="16"/>
                <w:szCs w:val="16"/>
              </w:rPr>
            </w:pPr>
            <w:r w:rsidRPr="00156FD5">
              <w:rPr>
                <w:sz w:val="16"/>
                <w:szCs w:val="16"/>
              </w:rPr>
              <w:t>114.37%</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7</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6</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UNESA SURABAYA</w:t>
            </w:r>
          </w:p>
        </w:tc>
        <w:tc>
          <w:tcPr>
            <w:tcW w:w="778" w:type="dxa"/>
            <w:vAlign w:val="center"/>
          </w:tcPr>
          <w:p w:rsidR="00BE44FE" w:rsidRPr="00156FD5" w:rsidRDefault="00BE44FE" w:rsidP="00156FD5">
            <w:pPr>
              <w:jc w:val="center"/>
              <w:rPr>
                <w:sz w:val="16"/>
                <w:szCs w:val="16"/>
              </w:rPr>
            </w:pPr>
            <w:r w:rsidRPr="00156FD5">
              <w:rPr>
                <w:sz w:val="16"/>
                <w:szCs w:val="16"/>
              </w:rPr>
              <w:t>65.29%</w:t>
            </w:r>
          </w:p>
        </w:tc>
        <w:tc>
          <w:tcPr>
            <w:tcW w:w="0" w:type="auto"/>
            <w:vAlign w:val="center"/>
          </w:tcPr>
          <w:p w:rsidR="00BE44FE" w:rsidRPr="00156FD5" w:rsidRDefault="00BE44FE" w:rsidP="00156FD5">
            <w:pPr>
              <w:jc w:val="center"/>
              <w:rPr>
                <w:sz w:val="16"/>
                <w:szCs w:val="16"/>
              </w:rPr>
            </w:pPr>
            <w:r w:rsidRPr="00156FD5">
              <w:rPr>
                <w:sz w:val="16"/>
                <w:szCs w:val="16"/>
              </w:rPr>
              <w:t>169.00%</w:t>
            </w:r>
          </w:p>
        </w:tc>
        <w:tc>
          <w:tcPr>
            <w:tcW w:w="0" w:type="auto"/>
            <w:vAlign w:val="center"/>
          </w:tcPr>
          <w:p w:rsidR="00BE44FE" w:rsidRPr="00156FD5" w:rsidRDefault="00BE44FE" w:rsidP="00156FD5">
            <w:pPr>
              <w:jc w:val="center"/>
              <w:rPr>
                <w:sz w:val="16"/>
                <w:szCs w:val="16"/>
              </w:rPr>
            </w:pPr>
            <w:r w:rsidRPr="00156FD5">
              <w:rPr>
                <w:sz w:val="16"/>
                <w:szCs w:val="16"/>
              </w:rPr>
              <w:t>122.32%</w:t>
            </w:r>
          </w:p>
        </w:tc>
        <w:tc>
          <w:tcPr>
            <w:tcW w:w="778" w:type="dxa"/>
            <w:vAlign w:val="center"/>
          </w:tcPr>
          <w:p w:rsidR="00BE44FE" w:rsidRPr="00156FD5" w:rsidRDefault="00BE44FE" w:rsidP="00156FD5">
            <w:pPr>
              <w:jc w:val="center"/>
              <w:rPr>
                <w:sz w:val="16"/>
                <w:szCs w:val="16"/>
              </w:rPr>
            </w:pPr>
            <w:r w:rsidRPr="00156FD5">
              <w:rPr>
                <w:sz w:val="16"/>
                <w:szCs w:val="16"/>
              </w:rPr>
              <w:t>118.87%</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5</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7</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UNJ JAKARTA</w:t>
            </w:r>
          </w:p>
        </w:tc>
        <w:tc>
          <w:tcPr>
            <w:tcW w:w="778" w:type="dxa"/>
            <w:vAlign w:val="center"/>
          </w:tcPr>
          <w:p w:rsidR="00BE44FE" w:rsidRPr="00156FD5" w:rsidRDefault="00BE44FE" w:rsidP="00156FD5">
            <w:pPr>
              <w:jc w:val="center"/>
              <w:rPr>
                <w:sz w:val="16"/>
                <w:szCs w:val="16"/>
              </w:rPr>
            </w:pPr>
            <w:r w:rsidRPr="00156FD5">
              <w:rPr>
                <w:sz w:val="16"/>
                <w:szCs w:val="16"/>
              </w:rPr>
              <w:t>115.59%</w:t>
            </w:r>
          </w:p>
        </w:tc>
        <w:tc>
          <w:tcPr>
            <w:tcW w:w="0" w:type="auto"/>
            <w:vAlign w:val="center"/>
          </w:tcPr>
          <w:p w:rsidR="00BE44FE" w:rsidRPr="00156FD5" w:rsidRDefault="00BE44FE" w:rsidP="00156FD5">
            <w:pPr>
              <w:jc w:val="center"/>
              <w:rPr>
                <w:sz w:val="16"/>
                <w:szCs w:val="16"/>
              </w:rPr>
            </w:pPr>
            <w:r w:rsidRPr="00156FD5">
              <w:rPr>
                <w:sz w:val="16"/>
                <w:szCs w:val="16"/>
              </w:rPr>
              <w:t>188.89%</w:t>
            </w:r>
          </w:p>
        </w:tc>
        <w:tc>
          <w:tcPr>
            <w:tcW w:w="0" w:type="auto"/>
            <w:vAlign w:val="center"/>
          </w:tcPr>
          <w:p w:rsidR="00BE44FE" w:rsidRPr="00156FD5" w:rsidRDefault="00BE44FE" w:rsidP="00156FD5">
            <w:pPr>
              <w:jc w:val="center"/>
              <w:rPr>
                <w:sz w:val="16"/>
                <w:szCs w:val="16"/>
              </w:rPr>
            </w:pPr>
            <w:r w:rsidRPr="00156FD5">
              <w:rPr>
                <w:sz w:val="16"/>
                <w:szCs w:val="16"/>
              </w:rPr>
              <w:t>148.58%</w:t>
            </w:r>
          </w:p>
        </w:tc>
        <w:tc>
          <w:tcPr>
            <w:tcW w:w="778" w:type="dxa"/>
            <w:vAlign w:val="center"/>
          </w:tcPr>
          <w:p w:rsidR="00BE44FE" w:rsidRPr="00156FD5" w:rsidRDefault="00BE44FE" w:rsidP="00156FD5">
            <w:pPr>
              <w:jc w:val="center"/>
              <w:rPr>
                <w:sz w:val="16"/>
                <w:szCs w:val="16"/>
              </w:rPr>
            </w:pPr>
            <w:r w:rsidRPr="00156FD5">
              <w:rPr>
                <w:sz w:val="16"/>
                <w:szCs w:val="16"/>
              </w:rPr>
              <w:t>151.02%</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4</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8</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UM MALANG</w:t>
            </w:r>
          </w:p>
        </w:tc>
        <w:tc>
          <w:tcPr>
            <w:tcW w:w="778" w:type="dxa"/>
            <w:vAlign w:val="center"/>
          </w:tcPr>
          <w:p w:rsidR="00BE44FE" w:rsidRPr="00156FD5" w:rsidRDefault="00BE44FE" w:rsidP="00156FD5">
            <w:pPr>
              <w:jc w:val="center"/>
              <w:rPr>
                <w:sz w:val="16"/>
                <w:szCs w:val="16"/>
              </w:rPr>
            </w:pPr>
            <w:r w:rsidRPr="00156FD5">
              <w:rPr>
                <w:sz w:val="16"/>
                <w:szCs w:val="16"/>
              </w:rPr>
              <w:t>220.79%</w:t>
            </w:r>
          </w:p>
        </w:tc>
        <w:tc>
          <w:tcPr>
            <w:tcW w:w="0" w:type="auto"/>
            <w:vAlign w:val="center"/>
          </w:tcPr>
          <w:p w:rsidR="00BE44FE" w:rsidRPr="00156FD5" w:rsidRDefault="00BE44FE" w:rsidP="00156FD5">
            <w:pPr>
              <w:jc w:val="center"/>
              <w:rPr>
                <w:sz w:val="16"/>
                <w:szCs w:val="16"/>
              </w:rPr>
            </w:pPr>
            <w:r w:rsidRPr="00156FD5">
              <w:rPr>
                <w:sz w:val="16"/>
                <w:szCs w:val="16"/>
              </w:rPr>
              <w:t>272.21%</w:t>
            </w:r>
          </w:p>
        </w:tc>
        <w:tc>
          <w:tcPr>
            <w:tcW w:w="0" w:type="auto"/>
            <w:vAlign w:val="center"/>
          </w:tcPr>
          <w:p w:rsidR="00BE44FE" w:rsidRPr="00156FD5" w:rsidRDefault="00BE44FE" w:rsidP="00156FD5">
            <w:pPr>
              <w:jc w:val="center"/>
              <w:rPr>
                <w:sz w:val="16"/>
                <w:szCs w:val="16"/>
              </w:rPr>
            </w:pPr>
            <w:r w:rsidRPr="00156FD5">
              <w:rPr>
                <w:sz w:val="16"/>
                <w:szCs w:val="16"/>
              </w:rPr>
              <w:t>184.68%</w:t>
            </w:r>
          </w:p>
        </w:tc>
        <w:tc>
          <w:tcPr>
            <w:tcW w:w="778" w:type="dxa"/>
            <w:vAlign w:val="center"/>
          </w:tcPr>
          <w:p w:rsidR="00BE44FE" w:rsidRPr="00156FD5" w:rsidRDefault="00BE44FE" w:rsidP="00156FD5">
            <w:pPr>
              <w:jc w:val="center"/>
              <w:rPr>
                <w:sz w:val="16"/>
                <w:szCs w:val="16"/>
              </w:rPr>
            </w:pPr>
            <w:r w:rsidRPr="00156FD5">
              <w:rPr>
                <w:sz w:val="16"/>
                <w:szCs w:val="16"/>
              </w:rPr>
              <w:t>225.89%</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1</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9</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UNNES SEMARANG</w:t>
            </w:r>
          </w:p>
        </w:tc>
        <w:tc>
          <w:tcPr>
            <w:tcW w:w="778" w:type="dxa"/>
            <w:vAlign w:val="center"/>
          </w:tcPr>
          <w:p w:rsidR="00BE44FE" w:rsidRPr="00156FD5" w:rsidRDefault="00BE44FE" w:rsidP="00156FD5">
            <w:pPr>
              <w:jc w:val="center"/>
              <w:rPr>
                <w:sz w:val="16"/>
                <w:szCs w:val="16"/>
              </w:rPr>
            </w:pPr>
            <w:r w:rsidRPr="00156FD5">
              <w:rPr>
                <w:sz w:val="16"/>
                <w:szCs w:val="16"/>
              </w:rPr>
              <w:t>79.81%</w:t>
            </w:r>
          </w:p>
        </w:tc>
        <w:tc>
          <w:tcPr>
            <w:tcW w:w="0" w:type="auto"/>
            <w:vAlign w:val="center"/>
          </w:tcPr>
          <w:p w:rsidR="00BE44FE" w:rsidRPr="00156FD5" w:rsidRDefault="00BE44FE" w:rsidP="00156FD5">
            <w:pPr>
              <w:jc w:val="center"/>
              <w:rPr>
                <w:sz w:val="16"/>
                <w:szCs w:val="16"/>
              </w:rPr>
            </w:pPr>
            <w:r w:rsidRPr="00156FD5">
              <w:rPr>
                <w:sz w:val="16"/>
                <w:szCs w:val="16"/>
              </w:rPr>
              <w:t>97.66%</w:t>
            </w:r>
          </w:p>
        </w:tc>
        <w:tc>
          <w:tcPr>
            <w:tcW w:w="0" w:type="auto"/>
            <w:vAlign w:val="center"/>
          </w:tcPr>
          <w:p w:rsidR="00BE44FE" w:rsidRPr="00156FD5" w:rsidRDefault="00BE44FE" w:rsidP="00156FD5">
            <w:pPr>
              <w:jc w:val="center"/>
              <w:rPr>
                <w:sz w:val="16"/>
                <w:szCs w:val="16"/>
              </w:rPr>
            </w:pPr>
            <w:r w:rsidRPr="00156FD5">
              <w:rPr>
                <w:sz w:val="16"/>
                <w:szCs w:val="16"/>
              </w:rPr>
              <w:t>84.05%</w:t>
            </w:r>
          </w:p>
        </w:tc>
        <w:tc>
          <w:tcPr>
            <w:tcW w:w="778" w:type="dxa"/>
            <w:vAlign w:val="center"/>
          </w:tcPr>
          <w:p w:rsidR="00BE44FE" w:rsidRPr="00156FD5" w:rsidRDefault="00BE44FE" w:rsidP="00156FD5">
            <w:pPr>
              <w:jc w:val="center"/>
              <w:rPr>
                <w:sz w:val="16"/>
                <w:szCs w:val="16"/>
              </w:rPr>
            </w:pPr>
            <w:r w:rsidRPr="00156FD5">
              <w:rPr>
                <w:sz w:val="16"/>
                <w:szCs w:val="16"/>
              </w:rPr>
              <w:t>87.17%</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10</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10</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UNY YOGYAKARTA</w:t>
            </w:r>
          </w:p>
        </w:tc>
        <w:tc>
          <w:tcPr>
            <w:tcW w:w="778" w:type="dxa"/>
            <w:vAlign w:val="center"/>
          </w:tcPr>
          <w:p w:rsidR="00BE44FE" w:rsidRPr="00156FD5" w:rsidRDefault="00BE44FE" w:rsidP="00156FD5">
            <w:pPr>
              <w:jc w:val="center"/>
              <w:rPr>
                <w:sz w:val="16"/>
                <w:szCs w:val="16"/>
              </w:rPr>
            </w:pPr>
            <w:r w:rsidRPr="00156FD5">
              <w:rPr>
                <w:sz w:val="16"/>
                <w:szCs w:val="16"/>
              </w:rPr>
              <w:t>290.54%</w:t>
            </w:r>
          </w:p>
        </w:tc>
        <w:tc>
          <w:tcPr>
            <w:tcW w:w="0" w:type="auto"/>
            <w:vAlign w:val="center"/>
          </w:tcPr>
          <w:p w:rsidR="00BE44FE" w:rsidRPr="00156FD5" w:rsidRDefault="00BE44FE" w:rsidP="00156FD5">
            <w:pPr>
              <w:jc w:val="center"/>
              <w:rPr>
                <w:sz w:val="16"/>
                <w:szCs w:val="16"/>
              </w:rPr>
            </w:pPr>
            <w:r w:rsidRPr="00156FD5">
              <w:rPr>
                <w:sz w:val="16"/>
                <w:szCs w:val="16"/>
              </w:rPr>
              <w:t>105.91%</w:t>
            </w:r>
          </w:p>
        </w:tc>
        <w:tc>
          <w:tcPr>
            <w:tcW w:w="0" w:type="auto"/>
            <w:vAlign w:val="center"/>
          </w:tcPr>
          <w:p w:rsidR="00BE44FE" w:rsidRPr="00156FD5" w:rsidRDefault="00BE44FE" w:rsidP="00156FD5">
            <w:pPr>
              <w:jc w:val="center"/>
              <w:rPr>
                <w:sz w:val="16"/>
                <w:szCs w:val="16"/>
              </w:rPr>
            </w:pPr>
            <w:r w:rsidRPr="00156FD5">
              <w:rPr>
                <w:sz w:val="16"/>
                <w:szCs w:val="16"/>
              </w:rPr>
              <w:t>99.36%</w:t>
            </w:r>
          </w:p>
        </w:tc>
        <w:tc>
          <w:tcPr>
            <w:tcW w:w="778" w:type="dxa"/>
            <w:vAlign w:val="center"/>
          </w:tcPr>
          <w:p w:rsidR="00BE44FE" w:rsidRPr="00156FD5" w:rsidRDefault="00BE44FE" w:rsidP="00156FD5">
            <w:pPr>
              <w:jc w:val="center"/>
              <w:rPr>
                <w:sz w:val="16"/>
                <w:szCs w:val="16"/>
              </w:rPr>
            </w:pPr>
            <w:r w:rsidRPr="00156FD5">
              <w:rPr>
                <w:sz w:val="16"/>
                <w:szCs w:val="16"/>
              </w:rPr>
              <w:t>165.27%</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2</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11</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UPI BANDUNG</w:t>
            </w:r>
          </w:p>
        </w:tc>
        <w:tc>
          <w:tcPr>
            <w:tcW w:w="778" w:type="dxa"/>
            <w:vAlign w:val="center"/>
          </w:tcPr>
          <w:p w:rsidR="00BE44FE" w:rsidRPr="00156FD5" w:rsidRDefault="00BE44FE" w:rsidP="00156FD5">
            <w:pPr>
              <w:jc w:val="center"/>
              <w:rPr>
                <w:sz w:val="16"/>
                <w:szCs w:val="16"/>
              </w:rPr>
            </w:pPr>
            <w:r w:rsidRPr="00156FD5">
              <w:rPr>
                <w:sz w:val="16"/>
                <w:szCs w:val="16"/>
              </w:rPr>
              <w:t>170.22%</w:t>
            </w:r>
          </w:p>
        </w:tc>
        <w:tc>
          <w:tcPr>
            <w:tcW w:w="0" w:type="auto"/>
            <w:vAlign w:val="center"/>
          </w:tcPr>
          <w:p w:rsidR="00BE44FE" w:rsidRPr="00156FD5" w:rsidRDefault="00BE44FE" w:rsidP="00156FD5">
            <w:pPr>
              <w:jc w:val="center"/>
              <w:rPr>
                <w:sz w:val="16"/>
                <w:szCs w:val="16"/>
              </w:rPr>
            </w:pPr>
            <w:r w:rsidRPr="00156FD5">
              <w:rPr>
                <w:sz w:val="16"/>
                <w:szCs w:val="16"/>
              </w:rPr>
              <w:t>182.59%</w:t>
            </w:r>
          </w:p>
        </w:tc>
        <w:tc>
          <w:tcPr>
            <w:tcW w:w="0" w:type="auto"/>
            <w:vAlign w:val="center"/>
          </w:tcPr>
          <w:p w:rsidR="00BE44FE" w:rsidRPr="00156FD5" w:rsidRDefault="00BE44FE" w:rsidP="00156FD5">
            <w:pPr>
              <w:jc w:val="center"/>
              <w:rPr>
                <w:sz w:val="16"/>
                <w:szCs w:val="16"/>
              </w:rPr>
            </w:pPr>
            <w:r w:rsidRPr="00156FD5">
              <w:rPr>
                <w:sz w:val="16"/>
                <w:szCs w:val="16"/>
              </w:rPr>
              <w:t>134.41%</w:t>
            </w:r>
          </w:p>
        </w:tc>
        <w:tc>
          <w:tcPr>
            <w:tcW w:w="778" w:type="dxa"/>
            <w:vAlign w:val="center"/>
          </w:tcPr>
          <w:p w:rsidR="00BE44FE" w:rsidRPr="00156FD5" w:rsidRDefault="00BE44FE" w:rsidP="00156FD5">
            <w:pPr>
              <w:jc w:val="center"/>
              <w:rPr>
                <w:sz w:val="16"/>
                <w:szCs w:val="16"/>
              </w:rPr>
            </w:pPr>
            <w:r w:rsidRPr="00156FD5">
              <w:rPr>
                <w:sz w:val="16"/>
                <w:szCs w:val="16"/>
              </w:rPr>
              <w:t>162.41%</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3</w:t>
            </w:r>
          </w:p>
        </w:tc>
      </w:tr>
      <w:tr w:rsidR="00BE44FE" w:rsidRPr="00156FD5" w:rsidTr="00156FD5">
        <w:trPr>
          <w:jc w:val="center"/>
        </w:trPr>
        <w:tc>
          <w:tcPr>
            <w:tcW w:w="0" w:type="auto"/>
            <w:vAlign w:val="center"/>
          </w:tcPr>
          <w:p w:rsidR="00BE44FE" w:rsidRPr="00156FD5" w:rsidRDefault="00BE44FE" w:rsidP="00156FD5">
            <w:pPr>
              <w:tabs>
                <w:tab w:val="left" w:pos="567"/>
                <w:tab w:val="left" w:pos="851"/>
              </w:tabs>
              <w:ind w:right="-91"/>
              <w:jc w:val="center"/>
              <w:rPr>
                <w:sz w:val="16"/>
                <w:szCs w:val="16"/>
              </w:rPr>
            </w:pPr>
            <w:r w:rsidRPr="00156FD5">
              <w:rPr>
                <w:sz w:val="16"/>
                <w:szCs w:val="16"/>
              </w:rPr>
              <w:t>12</w:t>
            </w:r>
          </w:p>
        </w:tc>
        <w:tc>
          <w:tcPr>
            <w:tcW w:w="1284" w:type="dxa"/>
            <w:vAlign w:val="center"/>
          </w:tcPr>
          <w:p w:rsidR="00BE44FE" w:rsidRPr="00156FD5" w:rsidRDefault="00BE44FE" w:rsidP="00156FD5">
            <w:pPr>
              <w:jc w:val="center"/>
              <w:rPr>
                <w:rFonts w:eastAsia="Times New Roman"/>
                <w:sz w:val="16"/>
                <w:szCs w:val="16"/>
              </w:rPr>
            </w:pPr>
            <w:r w:rsidRPr="00156FD5">
              <w:rPr>
                <w:rFonts w:eastAsia="Times New Roman"/>
                <w:sz w:val="16"/>
                <w:szCs w:val="16"/>
              </w:rPr>
              <w:t>UNP PADANG</w:t>
            </w:r>
          </w:p>
        </w:tc>
        <w:tc>
          <w:tcPr>
            <w:tcW w:w="778" w:type="dxa"/>
            <w:vAlign w:val="center"/>
          </w:tcPr>
          <w:p w:rsidR="00BE44FE" w:rsidRPr="00156FD5" w:rsidRDefault="00BE44FE" w:rsidP="00156FD5">
            <w:pPr>
              <w:jc w:val="center"/>
              <w:rPr>
                <w:sz w:val="16"/>
                <w:szCs w:val="16"/>
              </w:rPr>
            </w:pPr>
            <w:r w:rsidRPr="00156FD5">
              <w:rPr>
                <w:sz w:val="16"/>
                <w:szCs w:val="16"/>
              </w:rPr>
              <w:t>87.03%</w:t>
            </w:r>
          </w:p>
        </w:tc>
        <w:tc>
          <w:tcPr>
            <w:tcW w:w="0" w:type="auto"/>
            <w:vAlign w:val="center"/>
          </w:tcPr>
          <w:p w:rsidR="00BE44FE" w:rsidRPr="00156FD5" w:rsidRDefault="00BE44FE" w:rsidP="00156FD5">
            <w:pPr>
              <w:jc w:val="center"/>
              <w:rPr>
                <w:sz w:val="16"/>
                <w:szCs w:val="16"/>
              </w:rPr>
            </w:pPr>
            <w:r w:rsidRPr="00156FD5">
              <w:rPr>
                <w:sz w:val="16"/>
                <w:szCs w:val="16"/>
              </w:rPr>
              <w:t>113.75%</w:t>
            </w:r>
          </w:p>
        </w:tc>
        <w:tc>
          <w:tcPr>
            <w:tcW w:w="0" w:type="auto"/>
            <w:vAlign w:val="center"/>
          </w:tcPr>
          <w:p w:rsidR="00BE44FE" w:rsidRPr="00156FD5" w:rsidRDefault="00BE44FE" w:rsidP="00156FD5">
            <w:pPr>
              <w:jc w:val="center"/>
              <w:rPr>
                <w:sz w:val="16"/>
                <w:szCs w:val="16"/>
              </w:rPr>
            </w:pPr>
            <w:r w:rsidRPr="00156FD5">
              <w:rPr>
                <w:sz w:val="16"/>
                <w:szCs w:val="16"/>
              </w:rPr>
              <w:t>108.50%</w:t>
            </w:r>
          </w:p>
        </w:tc>
        <w:tc>
          <w:tcPr>
            <w:tcW w:w="778" w:type="dxa"/>
            <w:vAlign w:val="center"/>
          </w:tcPr>
          <w:p w:rsidR="00BE44FE" w:rsidRPr="00156FD5" w:rsidRDefault="00BE44FE" w:rsidP="00156FD5">
            <w:pPr>
              <w:jc w:val="center"/>
              <w:rPr>
                <w:sz w:val="16"/>
                <w:szCs w:val="16"/>
              </w:rPr>
            </w:pPr>
            <w:r w:rsidRPr="00156FD5">
              <w:rPr>
                <w:sz w:val="16"/>
                <w:szCs w:val="16"/>
              </w:rPr>
              <w:t>103.09%</w:t>
            </w:r>
          </w:p>
        </w:tc>
        <w:tc>
          <w:tcPr>
            <w:tcW w:w="547" w:type="dxa"/>
            <w:vAlign w:val="center"/>
          </w:tcPr>
          <w:p w:rsidR="00BE44FE" w:rsidRPr="00156FD5" w:rsidRDefault="00BE44FE" w:rsidP="00156FD5">
            <w:pPr>
              <w:tabs>
                <w:tab w:val="left" w:pos="567"/>
                <w:tab w:val="left" w:pos="851"/>
              </w:tabs>
              <w:jc w:val="center"/>
              <w:rPr>
                <w:sz w:val="16"/>
                <w:szCs w:val="16"/>
              </w:rPr>
            </w:pPr>
            <w:r w:rsidRPr="00156FD5">
              <w:rPr>
                <w:sz w:val="16"/>
                <w:szCs w:val="16"/>
              </w:rPr>
              <w:t>8</w:t>
            </w:r>
          </w:p>
        </w:tc>
      </w:tr>
    </w:tbl>
    <w:p w:rsidR="00BE44FE" w:rsidRPr="002B13F6" w:rsidRDefault="00BE44FE" w:rsidP="00BE44FE">
      <w:pPr>
        <w:ind w:firstLine="720"/>
        <w:rPr>
          <w:rStyle w:val="hps"/>
        </w:rPr>
      </w:pPr>
    </w:p>
    <w:p w:rsidR="00BE44FE" w:rsidRPr="00D51399" w:rsidRDefault="00BE44FE" w:rsidP="00D51399">
      <w:pPr>
        <w:ind w:firstLine="720"/>
        <w:rPr>
          <w:sz w:val="22"/>
          <w:szCs w:val="22"/>
        </w:rPr>
      </w:pPr>
      <w:r w:rsidRPr="00D51399">
        <w:rPr>
          <w:sz w:val="22"/>
          <w:szCs w:val="22"/>
        </w:rPr>
        <w:t>All universities that do not have the level1 of efficiency should strive to be efficient in a way: reducing inputs while maintaining a constant output (this is an input-oriented approach), increase output while maintaining a constant input (this is an output-oriented approach, or a third model which seeks to reduce input and increase output.</w:t>
      </w:r>
    </w:p>
    <w:p w:rsidR="00BE44FE" w:rsidRPr="00D51399" w:rsidRDefault="00BE44FE" w:rsidP="00D51399">
      <w:pPr>
        <w:ind w:firstLine="720"/>
        <w:rPr>
          <w:sz w:val="22"/>
          <w:szCs w:val="22"/>
        </w:rPr>
      </w:pPr>
      <w:r w:rsidRPr="00D51399">
        <w:rPr>
          <w:sz w:val="22"/>
          <w:szCs w:val="22"/>
        </w:rPr>
        <w:t xml:space="preserve">From the calculation results in Table </w:t>
      </w:r>
      <w:r w:rsidR="00D51399">
        <w:rPr>
          <w:sz w:val="22"/>
          <w:szCs w:val="22"/>
          <w:lang w:val="id-ID"/>
        </w:rPr>
        <w:t>1</w:t>
      </w:r>
      <w:r w:rsidRPr="00D51399">
        <w:rPr>
          <w:sz w:val="22"/>
          <w:szCs w:val="22"/>
        </w:rPr>
        <w:t xml:space="preserve"> shows that Universitas Negeri Malang, Universitas Negeri Yogyakarta, Universitas Pendidikan Indonesia, and Universitas Negeri Jakarta are the universities with the highest efficiency rating in Indonesia (more than 150%). First, the efficiency of the Indonesian education </w:t>
      </w:r>
      <w:r w:rsidR="00D51399" w:rsidRPr="00D51399">
        <w:rPr>
          <w:sz w:val="22"/>
          <w:szCs w:val="22"/>
        </w:rPr>
        <w:t>universities</w:t>
      </w:r>
      <w:r w:rsidRPr="00D51399">
        <w:rPr>
          <w:sz w:val="22"/>
          <w:szCs w:val="22"/>
        </w:rPr>
        <w:t xml:space="preserve"> </w:t>
      </w:r>
      <w:r w:rsidR="00D51399" w:rsidRPr="00D51399">
        <w:rPr>
          <w:sz w:val="22"/>
          <w:szCs w:val="22"/>
        </w:rPr>
        <w:t>occurs</w:t>
      </w:r>
      <w:r w:rsidRPr="00D51399">
        <w:rPr>
          <w:sz w:val="22"/>
          <w:szCs w:val="22"/>
        </w:rPr>
        <w:t xml:space="preserve"> during the period 2010-2012 showed slight progress (see table </w:t>
      </w:r>
      <w:r w:rsidR="00E0722C">
        <w:rPr>
          <w:sz w:val="22"/>
          <w:szCs w:val="22"/>
        </w:rPr>
        <w:t>1</w:t>
      </w:r>
      <w:r w:rsidRPr="00D51399">
        <w:rPr>
          <w:sz w:val="22"/>
          <w:szCs w:val="22"/>
        </w:rPr>
        <w:t xml:space="preserve">). In Table </w:t>
      </w:r>
      <w:r w:rsidR="00D51399">
        <w:rPr>
          <w:sz w:val="22"/>
          <w:szCs w:val="22"/>
          <w:lang w:val="id-ID"/>
        </w:rPr>
        <w:t>1</w:t>
      </w:r>
      <w:r w:rsidRPr="00D51399">
        <w:rPr>
          <w:sz w:val="22"/>
          <w:szCs w:val="22"/>
        </w:rPr>
        <w:t xml:space="preserve"> it can be seen that in the period 2010/2011 there are 7 DMU presented progress on their level of </w:t>
      </w:r>
      <w:r w:rsidR="00D51399" w:rsidRPr="00D51399">
        <w:rPr>
          <w:sz w:val="22"/>
          <w:szCs w:val="22"/>
        </w:rPr>
        <w:t>efficiency while</w:t>
      </w:r>
      <w:r w:rsidRPr="00D51399">
        <w:rPr>
          <w:sz w:val="22"/>
          <w:szCs w:val="22"/>
        </w:rPr>
        <w:t xml:space="preserve"> in 2011/2012 only 3 DMUs. However, in the period 2010-2012only DMU</w:t>
      </w:r>
      <w:r w:rsidR="00D51399">
        <w:rPr>
          <w:sz w:val="22"/>
          <w:szCs w:val="22"/>
          <w:lang w:val="id-ID"/>
        </w:rPr>
        <w:t xml:space="preserve"> </w:t>
      </w:r>
      <w:r w:rsidRPr="00D51399">
        <w:rPr>
          <w:sz w:val="22"/>
          <w:szCs w:val="22"/>
        </w:rPr>
        <w:t>7</w:t>
      </w:r>
      <w:r w:rsidR="00D51399" w:rsidRPr="00D51399">
        <w:rPr>
          <w:sz w:val="22"/>
          <w:szCs w:val="22"/>
        </w:rPr>
        <w:t>,8,</w:t>
      </w:r>
      <w:r w:rsidR="00D51399">
        <w:rPr>
          <w:sz w:val="22"/>
          <w:szCs w:val="22"/>
          <w:lang w:val="id-ID"/>
        </w:rPr>
        <w:t xml:space="preserve"> and </w:t>
      </w:r>
      <w:r w:rsidR="00D51399" w:rsidRPr="00D51399">
        <w:rPr>
          <w:sz w:val="22"/>
          <w:szCs w:val="22"/>
        </w:rPr>
        <w:t>11</w:t>
      </w:r>
      <w:r w:rsidRPr="00D51399">
        <w:rPr>
          <w:sz w:val="22"/>
          <w:szCs w:val="22"/>
        </w:rPr>
        <w:t xml:space="preserve"> </w:t>
      </w:r>
      <w:r w:rsidR="00D51399" w:rsidRPr="00D51399">
        <w:rPr>
          <w:sz w:val="22"/>
          <w:szCs w:val="22"/>
        </w:rPr>
        <w:t>have level</w:t>
      </w:r>
      <w:r w:rsidRPr="00D51399">
        <w:rPr>
          <w:sz w:val="22"/>
          <w:szCs w:val="22"/>
        </w:rPr>
        <w:t xml:space="preserve"> of technical </w:t>
      </w:r>
      <w:r w:rsidR="00D51399" w:rsidRPr="00D51399">
        <w:rPr>
          <w:sz w:val="22"/>
          <w:szCs w:val="22"/>
        </w:rPr>
        <w:t>efficiency more</w:t>
      </w:r>
      <w:r w:rsidRPr="00D51399">
        <w:rPr>
          <w:sz w:val="22"/>
          <w:szCs w:val="22"/>
        </w:rPr>
        <w:t xml:space="preserve"> than 1. Also noteworthy was the most stable behavior present level technical efficiency of the DMU 11, since these levels throughout the period 2010-2012 remained in the level of around 1.4 – 1.8. On average, it can be noted that more than a half of the DMUs analyzed presented progress, as their average efficiency indices were higher than the 1. Within this majority group, the DMUs 8 and 10 were the best evaluated. Their level indices technical </w:t>
      </w:r>
      <w:r w:rsidR="004634ED" w:rsidRPr="00D51399">
        <w:rPr>
          <w:sz w:val="22"/>
          <w:szCs w:val="22"/>
        </w:rPr>
        <w:t>efficiency</w:t>
      </w:r>
      <w:r w:rsidR="00D51399">
        <w:rPr>
          <w:sz w:val="22"/>
          <w:szCs w:val="22"/>
          <w:lang w:val="id-ID"/>
        </w:rPr>
        <w:t xml:space="preserve"> </w:t>
      </w:r>
      <w:r w:rsidR="00D51399" w:rsidRPr="00D51399">
        <w:rPr>
          <w:sz w:val="22"/>
          <w:szCs w:val="22"/>
        </w:rPr>
        <w:t>w</w:t>
      </w:r>
      <w:r w:rsidR="004634ED">
        <w:rPr>
          <w:sz w:val="22"/>
          <w:szCs w:val="22"/>
          <w:lang w:val="id-ID"/>
        </w:rPr>
        <w:t>ere</w:t>
      </w:r>
      <w:r w:rsidR="00D51399">
        <w:rPr>
          <w:sz w:val="22"/>
          <w:szCs w:val="22"/>
          <w:lang w:val="id-ID"/>
        </w:rPr>
        <w:t xml:space="preserve"> </w:t>
      </w:r>
      <w:r w:rsidRPr="00D51399">
        <w:rPr>
          <w:sz w:val="22"/>
          <w:szCs w:val="22"/>
        </w:rPr>
        <w:t>225.89</w:t>
      </w:r>
      <w:r w:rsidR="004634ED" w:rsidRPr="00D51399">
        <w:rPr>
          <w:sz w:val="22"/>
          <w:szCs w:val="22"/>
        </w:rPr>
        <w:t xml:space="preserve">% </w:t>
      </w:r>
      <w:r w:rsidR="004634ED">
        <w:rPr>
          <w:sz w:val="22"/>
          <w:szCs w:val="22"/>
          <w:lang w:val="id-ID"/>
        </w:rPr>
        <w:t>and</w:t>
      </w:r>
      <w:r w:rsidRPr="00D51399">
        <w:rPr>
          <w:sz w:val="22"/>
          <w:szCs w:val="22"/>
        </w:rPr>
        <w:t xml:space="preserve"> 165.27% respectively. </w:t>
      </w:r>
    </w:p>
    <w:p w:rsidR="00D51399" w:rsidRDefault="00D51399" w:rsidP="00DF20C0">
      <w:pPr>
        <w:ind w:firstLineChars="200" w:firstLine="440"/>
        <w:rPr>
          <w:sz w:val="22"/>
          <w:szCs w:val="22"/>
          <w:lang w:val="id-ID"/>
        </w:rPr>
      </w:pPr>
    </w:p>
    <w:p w:rsidR="00D51399" w:rsidRPr="00D51399" w:rsidRDefault="00D51399" w:rsidP="00D51399">
      <w:pPr>
        <w:spacing w:after="240" w:line="240" w:lineRule="exact"/>
        <w:rPr>
          <w:b/>
          <w:sz w:val="22"/>
          <w:szCs w:val="22"/>
        </w:rPr>
      </w:pPr>
      <w:r>
        <w:rPr>
          <w:b/>
          <w:bCs/>
          <w:color w:val="000000"/>
          <w:kern w:val="0"/>
          <w:sz w:val="22"/>
          <w:szCs w:val="22"/>
          <w:lang w:val="id-ID"/>
        </w:rPr>
        <w:t>4</w:t>
      </w:r>
      <w:r>
        <w:rPr>
          <w:b/>
          <w:bCs/>
          <w:color w:val="000000"/>
          <w:kern w:val="0"/>
          <w:sz w:val="22"/>
          <w:szCs w:val="22"/>
        </w:rPr>
        <w:t>.</w:t>
      </w:r>
      <w:r>
        <w:rPr>
          <w:b/>
          <w:bCs/>
          <w:color w:val="000000"/>
          <w:kern w:val="0"/>
          <w:sz w:val="22"/>
          <w:szCs w:val="22"/>
          <w:lang w:val="id-ID"/>
        </w:rPr>
        <w:t xml:space="preserve"> CONCLUSIONS </w:t>
      </w:r>
    </w:p>
    <w:p w:rsidR="00D51399" w:rsidRPr="00D51399" w:rsidRDefault="00D51399" w:rsidP="00D51399">
      <w:pPr>
        <w:ind w:firstLine="720"/>
        <w:rPr>
          <w:sz w:val="22"/>
          <w:szCs w:val="22"/>
        </w:rPr>
      </w:pPr>
      <w:r w:rsidRPr="00D51399">
        <w:rPr>
          <w:sz w:val="22"/>
          <w:szCs w:val="22"/>
        </w:rPr>
        <w:t>The main objectives of universities are: acquire, build and transfer knowledge. As learning institutions, seek to develop and transfer innovation technology, making contributions to existing political systems, and offer advances and training to the workforce, in order to promote economic</w:t>
      </w:r>
      <w:r>
        <w:rPr>
          <w:sz w:val="22"/>
          <w:szCs w:val="22"/>
          <w:lang w:val="id-ID"/>
        </w:rPr>
        <w:t xml:space="preserve"> </w:t>
      </w:r>
      <w:r w:rsidRPr="00D51399">
        <w:rPr>
          <w:sz w:val="22"/>
          <w:szCs w:val="22"/>
        </w:rPr>
        <w:t>growth</w:t>
      </w:r>
      <w:r>
        <w:rPr>
          <w:sz w:val="22"/>
          <w:szCs w:val="22"/>
          <w:lang w:val="id-ID"/>
        </w:rPr>
        <w:t xml:space="preserve">. </w:t>
      </w:r>
      <w:r w:rsidRPr="00D51399">
        <w:rPr>
          <w:sz w:val="22"/>
          <w:szCs w:val="22"/>
        </w:rPr>
        <w:t>Therefore, universities (public), like other organizations (Public and private) can be considered as social entities that are inserted into a spacious environment, which forces them to adapt to major changes economic and social predominant. Thus, the growing concern for issues</w:t>
      </w:r>
      <w:r>
        <w:rPr>
          <w:sz w:val="22"/>
          <w:szCs w:val="22"/>
          <w:lang w:val="id-ID"/>
        </w:rPr>
        <w:t xml:space="preserve"> </w:t>
      </w:r>
      <w:r w:rsidRPr="00D51399">
        <w:rPr>
          <w:sz w:val="22"/>
          <w:szCs w:val="22"/>
        </w:rPr>
        <w:t>concerning the quality of services provided by the public education sector has place performance (technical efficiency) is constantly evaluated, using the use of various techniques, such is the case of nonparametric frontier method known as data envelopment analysis (DEA), which measures the technical efficiency of DMUs. The DEA measures the performance of DMUs statically (calculated efficiency technique at a given time). More than a half of the DMUs analyzed presented progress, as their average efficiency indices were higher than the 1. The DMUs 8 and 10 were the best evaluated. Their level indices technical efficiency were 225.89% and 165.27% respectively</w:t>
      </w:r>
    </w:p>
    <w:p w:rsidR="004634ED" w:rsidRPr="007549B8" w:rsidRDefault="004634ED" w:rsidP="004634ED">
      <w:pPr>
        <w:autoSpaceDE w:val="0"/>
        <w:autoSpaceDN w:val="0"/>
        <w:adjustRightInd w:val="0"/>
        <w:spacing w:beforeLines="100" w:before="240" w:afterLines="100" w:after="240"/>
        <w:jc w:val="left"/>
        <w:rPr>
          <w:b/>
          <w:bCs/>
          <w:color w:val="000000"/>
          <w:kern w:val="0"/>
          <w:sz w:val="22"/>
          <w:szCs w:val="22"/>
        </w:rPr>
      </w:pPr>
      <w:r w:rsidRPr="007549B8">
        <w:rPr>
          <w:b/>
          <w:bCs/>
          <w:color w:val="000000"/>
          <w:kern w:val="0"/>
          <w:sz w:val="22"/>
          <w:szCs w:val="22"/>
        </w:rPr>
        <w:t>ACKNOWLEDGMENTS</w:t>
      </w:r>
    </w:p>
    <w:p w:rsidR="004634ED" w:rsidRPr="007549B8" w:rsidRDefault="004634ED" w:rsidP="004634ED">
      <w:pPr>
        <w:ind w:firstLineChars="200" w:firstLine="440"/>
        <w:rPr>
          <w:b/>
          <w:sz w:val="22"/>
          <w:szCs w:val="22"/>
        </w:rPr>
      </w:pPr>
      <w:r w:rsidRPr="007549B8">
        <w:rPr>
          <w:sz w:val="22"/>
          <w:szCs w:val="22"/>
        </w:rPr>
        <w:t xml:space="preserve">This work was supported in part by </w:t>
      </w:r>
      <w:r>
        <w:rPr>
          <w:sz w:val="22"/>
          <w:szCs w:val="22"/>
          <w:lang w:val="id-ID"/>
        </w:rPr>
        <w:t xml:space="preserve">DIKTI </w:t>
      </w:r>
      <w:r w:rsidRPr="007549B8">
        <w:rPr>
          <w:sz w:val="22"/>
          <w:szCs w:val="22"/>
        </w:rPr>
        <w:t xml:space="preserve">under Grant Nos. </w:t>
      </w:r>
      <w:r w:rsidR="007B231B">
        <w:t>240/PUPT/UN34.21/2014</w:t>
      </w:r>
      <w:r w:rsidRPr="007549B8">
        <w:rPr>
          <w:sz w:val="22"/>
          <w:szCs w:val="22"/>
        </w:rPr>
        <w:t>.</w:t>
      </w:r>
    </w:p>
    <w:p w:rsidR="004634ED" w:rsidRPr="002921A7" w:rsidRDefault="004634ED" w:rsidP="004634ED">
      <w:pPr>
        <w:autoSpaceDE w:val="0"/>
        <w:autoSpaceDN w:val="0"/>
        <w:adjustRightInd w:val="0"/>
        <w:spacing w:beforeLines="100" w:before="240" w:afterLines="100" w:after="240"/>
        <w:jc w:val="left"/>
        <w:rPr>
          <w:rFonts w:cs="Arial"/>
          <w:b/>
          <w:bCs/>
          <w:color w:val="000000"/>
          <w:kern w:val="0"/>
          <w:sz w:val="24"/>
        </w:rPr>
      </w:pPr>
      <w:r w:rsidRPr="001329E8">
        <w:rPr>
          <w:rFonts w:cs="Arial"/>
          <w:b/>
          <w:bCs/>
          <w:color w:val="000000"/>
          <w:kern w:val="0"/>
          <w:sz w:val="24"/>
        </w:rPr>
        <w:t>REFERENCES</w:t>
      </w:r>
    </w:p>
    <w:p w:rsidR="007B231B" w:rsidRPr="004634ED" w:rsidRDefault="007B231B" w:rsidP="007B231B">
      <w:pPr>
        <w:numPr>
          <w:ilvl w:val="0"/>
          <w:numId w:val="4"/>
        </w:numPr>
        <w:autoSpaceDE w:val="0"/>
        <w:autoSpaceDN w:val="0"/>
        <w:adjustRightInd w:val="0"/>
        <w:ind w:left="567" w:hanging="567"/>
        <w:jc w:val="left"/>
        <w:rPr>
          <w:sz w:val="18"/>
          <w:szCs w:val="18"/>
        </w:rPr>
      </w:pPr>
      <w:r w:rsidRPr="004634ED">
        <w:rPr>
          <w:sz w:val="18"/>
          <w:szCs w:val="18"/>
        </w:rPr>
        <w:t xml:space="preserve">M. Katharaki, and, G. Katharakis,. A comparative assessment of Greek universities’ efficiency using quantitative analysis. </w:t>
      </w:r>
      <w:r w:rsidRPr="004634ED">
        <w:rPr>
          <w:i/>
          <w:iCs/>
          <w:sz w:val="18"/>
          <w:szCs w:val="18"/>
        </w:rPr>
        <w:t>International journal of educational research</w:t>
      </w:r>
      <w:r w:rsidRPr="004634ED">
        <w:rPr>
          <w:sz w:val="18"/>
          <w:szCs w:val="18"/>
        </w:rPr>
        <w:t xml:space="preserve">, </w:t>
      </w:r>
      <w:r w:rsidRPr="004634ED">
        <w:rPr>
          <w:i/>
          <w:iCs/>
          <w:sz w:val="18"/>
          <w:szCs w:val="18"/>
        </w:rPr>
        <w:t>49</w:t>
      </w:r>
      <w:r w:rsidRPr="004634ED">
        <w:rPr>
          <w:sz w:val="18"/>
          <w:szCs w:val="18"/>
        </w:rPr>
        <w:t>(4), pp.115-128. (2010)</w:t>
      </w:r>
    </w:p>
    <w:p w:rsidR="007B231B" w:rsidRPr="004634ED" w:rsidRDefault="007B231B" w:rsidP="007B231B">
      <w:pPr>
        <w:numPr>
          <w:ilvl w:val="0"/>
          <w:numId w:val="4"/>
        </w:numPr>
        <w:autoSpaceDE w:val="0"/>
        <w:autoSpaceDN w:val="0"/>
        <w:adjustRightInd w:val="0"/>
        <w:ind w:left="567" w:hanging="567"/>
        <w:jc w:val="left"/>
        <w:rPr>
          <w:rFonts w:eastAsia="Times New Roman"/>
          <w:sz w:val="18"/>
          <w:szCs w:val="18"/>
          <w:lang w:eastAsia="id-ID"/>
        </w:rPr>
      </w:pPr>
      <w:r w:rsidRPr="004634ED">
        <w:rPr>
          <w:sz w:val="18"/>
          <w:szCs w:val="18"/>
        </w:rPr>
        <w:t xml:space="preserve">A.D. Athanassopoulos and, E. Shale,. Assessing the comparative efficiency of higher education institutions in the UK by the means of data envelopment analysis. </w:t>
      </w:r>
      <w:r w:rsidRPr="004634ED">
        <w:rPr>
          <w:i/>
          <w:iCs/>
          <w:sz w:val="18"/>
          <w:szCs w:val="18"/>
        </w:rPr>
        <w:t>Education Economics</w:t>
      </w:r>
      <w:r w:rsidRPr="004634ED">
        <w:rPr>
          <w:sz w:val="18"/>
          <w:szCs w:val="18"/>
        </w:rPr>
        <w:t xml:space="preserve">, (1997) </w:t>
      </w:r>
      <w:r w:rsidRPr="004634ED">
        <w:rPr>
          <w:i/>
          <w:iCs/>
          <w:sz w:val="18"/>
          <w:szCs w:val="18"/>
        </w:rPr>
        <w:t>5</w:t>
      </w:r>
      <w:r w:rsidRPr="004634ED">
        <w:rPr>
          <w:sz w:val="18"/>
          <w:szCs w:val="18"/>
        </w:rPr>
        <w:t>(2), pp.117-134.</w:t>
      </w:r>
    </w:p>
    <w:p w:rsidR="007B231B" w:rsidRPr="004634ED" w:rsidRDefault="007B231B" w:rsidP="007B231B">
      <w:pPr>
        <w:numPr>
          <w:ilvl w:val="0"/>
          <w:numId w:val="4"/>
        </w:numPr>
        <w:autoSpaceDE w:val="0"/>
        <w:autoSpaceDN w:val="0"/>
        <w:adjustRightInd w:val="0"/>
        <w:ind w:left="567" w:hanging="567"/>
        <w:jc w:val="left"/>
        <w:rPr>
          <w:sz w:val="18"/>
          <w:szCs w:val="18"/>
        </w:rPr>
      </w:pPr>
      <w:r w:rsidRPr="004634ED">
        <w:rPr>
          <w:sz w:val="18"/>
          <w:szCs w:val="18"/>
        </w:rPr>
        <w:t xml:space="preserve">J.C. Glass, , G. McCallion, , D.G. McKillop, , S. Rasaratnam and, K.S. Stringer,. Implications of variant efficiency measures for policy evaluations in UK higher education. </w:t>
      </w:r>
      <w:r w:rsidRPr="004634ED">
        <w:rPr>
          <w:i/>
          <w:iCs/>
          <w:sz w:val="18"/>
          <w:szCs w:val="18"/>
        </w:rPr>
        <w:t>Socio-economic planning sciences</w:t>
      </w:r>
      <w:r w:rsidRPr="004634ED">
        <w:rPr>
          <w:sz w:val="18"/>
          <w:szCs w:val="18"/>
        </w:rPr>
        <w:t xml:space="preserve">, (2006) </w:t>
      </w:r>
      <w:r w:rsidRPr="004634ED">
        <w:rPr>
          <w:i/>
          <w:iCs/>
          <w:sz w:val="18"/>
          <w:szCs w:val="18"/>
        </w:rPr>
        <w:t>40</w:t>
      </w:r>
      <w:r w:rsidRPr="004634ED">
        <w:rPr>
          <w:sz w:val="18"/>
          <w:szCs w:val="18"/>
        </w:rPr>
        <w:t>(2), pp.119-142.</w:t>
      </w:r>
    </w:p>
    <w:p w:rsidR="004634ED" w:rsidRPr="004634ED" w:rsidRDefault="004634ED" w:rsidP="004634ED">
      <w:pPr>
        <w:numPr>
          <w:ilvl w:val="0"/>
          <w:numId w:val="4"/>
        </w:numPr>
        <w:autoSpaceDE w:val="0"/>
        <w:autoSpaceDN w:val="0"/>
        <w:adjustRightInd w:val="0"/>
        <w:ind w:left="567" w:hanging="567"/>
        <w:jc w:val="left"/>
        <w:rPr>
          <w:sz w:val="18"/>
          <w:szCs w:val="18"/>
        </w:rPr>
      </w:pPr>
      <w:r w:rsidRPr="004634ED">
        <w:rPr>
          <w:sz w:val="18"/>
          <w:szCs w:val="18"/>
        </w:rPr>
        <w:t xml:space="preserve">T. Agasisti and, G. Johnes,. Beyond frontiers: comparing the efficiency of higher education decision‐making units across more than one country. </w:t>
      </w:r>
      <w:r w:rsidRPr="004634ED">
        <w:rPr>
          <w:i/>
          <w:iCs/>
          <w:sz w:val="18"/>
          <w:szCs w:val="18"/>
        </w:rPr>
        <w:t>Education Economics</w:t>
      </w:r>
      <w:r w:rsidRPr="004634ED">
        <w:rPr>
          <w:sz w:val="18"/>
          <w:szCs w:val="18"/>
        </w:rPr>
        <w:t xml:space="preserve">, (2009) </w:t>
      </w:r>
      <w:r w:rsidRPr="004634ED">
        <w:rPr>
          <w:i/>
          <w:iCs/>
          <w:sz w:val="18"/>
          <w:szCs w:val="18"/>
        </w:rPr>
        <w:t>17</w:t>
      </w:r>
      <w:r w:rsidRPr="004634ED">
        <w:rPr>
          <w:sz w:val="18"/>
          <w:szCs w:val="18"/>
        </w:rPr>
        <w:t>(1), pp.59-79.</w:t>
      </w:r>
    </w:p>
    <w:p w:rsidR="007B231B" w:rsidRPr="004634ED" w:rsidRDefault="007B231B" w:rsidP="007B231B">
      <w:pPr>
        <w:numPr>
          <w:ilvl w:val="0"/>
          <w:numId w:val="4"/>
        </w:numPr>
        <w:autoSpaceDE w:val="0"/>
        <w:autoSpaceDN w:val="0"/>
        <w:adjustRightInd w:val="0"/>
        <w:ind w:left="567" w:hanging="567"/>
        <w:jc w:val="left"/>
        <w:rPr>
          <w:rFonts w:eastAsia="Times New Roman"/>
          <w:sz w:val="18"/>
          <w:szCs w:val="18"/>
          <w:lang w:eastAsia="id-ID"/>
        </w:rPr>
      </w:pPr>
      <w:r w:rsidRPr="004634ED">
        <w:rPr>
          <w:sz w:val="18"/>
          <w:szCs w:val="18"/>
        </w:rPr>
        <w:t xml:space="preserve">B. Sander and, T. Wiggins. Cultural context of administrative theory: In consideration of a multidimensional paradigm. </w:t>
      </w:r>
      <w:r w:rsidRPr="004634ED">
        <w:rPr>
          <w:i/>
          <w:iCs/>
          <w:sz w:val="18"/>
          <w:szCs w:val="18"/>
        </w:rPr>
        <w:t>Educational Administration Quarterly</w:t>
      </w:r>
      <w:r w:rsidRPr="004634ED">
        <w:rPr>
          <w:sz w:val="18"/>
          <w:szCs w:val="18"/>
        </w:rPr>
        <w:t xml:space="preserve">, (1985) </w:t>
      </w:r>
      <w:r w:rsidRPr="004634ED">
        <w:rPr>
          <w:i/>
          <w:iCs/>
          <w:sz w:val="18"/>
          <w:szCs w:val="18"/>
        </w:rPr>
        <w:t>21</w:t>
      </w:r>
      <w:r w:rsidRPr="004634ED">
        <w:rPr>
          <w:sz w:val="18"/>
          <w:szCs w:val="18"/>
        </w:rPr>
        <w:t>(1), pp.95-117.</w:t>
      </w:r>
    </w:p>
    <w:p w:rsidR="004634ED" w:rsidRPr="004634ED" w:rsidRDefault="004634ED" w:rsidP="004634ED">
      <w:pPr>
        <w:numPr>
          <w:ilvl w:val="0"/>
          <w:numId w:val="4"/>
        </w:numPr>
        <w:autoSpaceDE w:val="0"/>
        <w:autoSpaceDN w:val="0"/>
        <w:adjustRightInd w:val="0"/>
        <w:ind w:left="567" w:hanging="567"/>
        <w:jc w:val="left"/>
        <w:rPr>
          <w:sz w:val="18"/>
          <w:szCs w:val="18"/>
        </w:rPr>
      </w:pPr>
      <w:r w:rsidRPr="004634ED">
        <w:rPr>
          <w:sz w:val="18"/>
          <w:szCs w:val="18"/>
        </w:rPr>
        <w:t xml:space="preserve">T.M. Breu and, R.L. Raab,. Efficiency and perceived quality of the nation's “top 25” National Universities and National Liberal Arts Colleges: An application of data envelopment analysis to higher education. </w:t>
      </w:r>
      <w:r w:rsidRPr="004634ED">
        <w:rPr>
          <w:i/>
          <w:iCs/>
          <w:sz w:val="18"/>
          <w:szCs w:val="18"/>
        </w:rPr>
        <w:t>Socio-Economic Planning Sciences</w:t>
      </w:r>
      <w:r w:rsidRPr="004634ED">
        <w:rPr>
          <w:sz w:val="18"/>
          <w:szCs w:val="18"/>
        </w:rPr>
        <w:t xml:space="preserve">, (1994) </w:t>
      </w:r>
      <w:r w:rsidRPr="004634ED">
        <w:rPr>
          <w:i/>
          <w:iCs/>
          <w:sz w:val="18"/>
          <w:szCs w:val="18"/>
        </w:rPr>
        <w:t>28</w:t>
      </w:r>
      <w:r w:rsidRPr="004634ED">
        <w:rPr>
          <w:sz w:val="18"/>
          <w:szCs w:val="18"/>
        </w:rPr>
        <w:t>(1), pp.33-45.</w:t>
      </w:r>
    </w:p>
    <w:p w:rsidR="007B231B" w:rsidRPr="004634ED" w:rsidRDefault="007B231B" w:rsidP="007B231B">
      <w:pPr>
        <w:numPr>
          <w:ilvl w:val="0"/>
          <w:numId w:val="4"/>
        </w:numPr>
        <w:autoSpaceDE w:val="0"/>
        <w:autoSpaceDN w:val="0"/>
        <w:adjustRightInd w:val="0"/>
        <w:ind w:left="567" w:hanging="567"/>
        <w:jc w:val="left"/>
        <w:rPr>
          <w:sz w:val="18"/>
          <w:szCs w:val="18"/>
        </w:rPr>
      </w:pPr>
      <w:r w:rsidRPr="004634ED">
        <w:rPr>
          <w:sz w:val="18"/>
          <w:szCs w:val="18"/>
        </w:rPr>
        <w:t xml:space="preserve">F.R. Førsund and, K.O. Kalhagen,. </w:t>
      </w:r>
      <w:r w:rsidRPr="004634ED">
        <w:rPr>
          <w:i/>
          <w:iCs/>
          <w:sz w:val="18"/>
          <w:szCs w:val="18"/>
        </w:rPr>
        <w:t>Efficiency and productivity of Norwegian Colleges</w:t>
      </w:r>
      <w:r w:rsidRPr="004634ED">
        <w:rPr>
          <w:sz w:val="18"/>
          <w:szCs w:val="18"/>
        </w:rPr>
        <w:t xml:space="preserve"> (1999) (pp. 269-308). Deutscher Universitätsverlag.</w:t>
      </w:r>
    </w:p>
    <w:p w:rsidR="007B231B" w:rsidRPr="004634ED" w:rsidRDefault="007B231B" w:rsidP="007B231B">
      <w:pPr>
        <w:numPr>
          <w:ilvl w:val="0"/>
          <w:numId w:val="4"/>
        </w:numPr>
        <w:autoSpaceDE w:val="0"/>
        <w:autoSpaceDN w:val="0"/>
        <w:adjustRightInd w:val="0"/>
        <w:ind w:left="567" w:hanging="567"/>
        <w:jc w:val="left"/>
        <w:rPr>
          <w:sz w:val="18"/>
          <w:szCs w:val="18"/>
        </w:rPr>
      </w:pPr>
      <w:r w:rsidRPr="004634ED">
        <w:rPr>
          <w:sz w:val="18"/>
          <w:szCs w:val="18"/>
        </w:rPr>
        <w:t xml:space="preserve">C.T. Kuah and, K.Y. Wong,. Efficiency assessment of universities through data envelopment analysis. </w:t>
      </w:r>
      <w:r w:rsidRPr="004634ED">
        <w:rPr>
          <w:i/>
          <w:iCs/>
          <w:sz w:val="18"/>
          <w:szCs w:val="18"/>
        </w:rPr>
        <w:t>Procedia Computer Science</w:t>
      </w:r>
      <w:r w:rsidRPr="004634ED">
        <w:rPr>
          <w:sz w:val="18"/>
          <w:szCs w:val="18"/>
        </w:rPr>
        <w:t xml:space="preserve">, (2011) </w:t>
      </w:r>
      <w:r w:rsidRPr="004634ED">
        <w:rPr>
          <w:i/>
          <w:iCs/>
          <w:sz w:val="18"/>
          <w:szCs w:val="18"/>
        </w:rPr>
        <w:t>3</w:t>
      </w:r>
      <w:r w:rsidRPr="004634ED">
        <w:rPr>
          <w:sz w:val="18"/>
          <w:szCs w:val="18"/>
        </w:rPr>
        <w:t>, pp.499-506.</w:t>
      </w:r>
    </w:p>
    <w:p w:rsidR="004634ED" w:rsidRPr="004634ED" w:rsidRDefault="004634ED" w:rsidP="004634ED">
      <w:pPr>
        <w:numPr>
          <w:ilvl w:val="0"/>
          <w:numId w:val="4"/>
        </w:numPr>
        <w:autoSpaceDE w:val="0"/>
        <w:autoSpaceDN w:val="0"/>
        <w:adjustRightInd w:val="0"/>
        <w:ind w:left="567" w:hanging="567"/>
        <w:jc w:val="left"/>
        <w:rPr>
          <w:sz w:val="18"/>
          <w:szCs w:val="18"/>
        </w:rPr>
      </w:pPr>
      <w:r w:rsidRPr="004634ED">
        <w:rPr>
          <w:rFonts w:eastAsia="Times New Roman"/>
          <w:sz w:val="18"/>
          <w:szCs w:val="18"/>
          <w:lang w:eastAsia="id-ID"/>
        </w:rPr>
        <w:t xml:space="preserve">A. Charnes, , W.W. Cooper and, E. Rhodes,. Measuring the efficiency of decision- making units. </w:t>
      </w:r>
      <w:r w:rsidRPr="004634ED">
        <w:rPr>
          <w:rFonts w:eastAsia="Times New Roman"/>
          <w:i/>
          <w:iCs/>
          <w:sz w:val="18"/>
          <w:szCs w:val="18"/>
          <w:lang w:eastAsia="id-ID"/>
        </w:rPr>
        <w:t>European journal of operational research</w:t>
      </w:r>
      <w:r w:rsidRPr="004634ED">
        <w:rPr>
          <w:rFonts w:eastAsia="Times New Roman"/>
          <w:sz w:val="18"/>
          <w:szCs w:val="18"/>
          <w:lang w:eastAsia="id-ID"/>
        </w:rPr>
        <w:t xml:space="preserve">, </w:t>
      </w:r>
      <w:r w:rsidRPr="004634ED">
        <w:rPr>
          <w:rFonts w:eastAsia="Times New Roman"/>
          <w:i/>
          <w:iCs/>
          <w:sz w:val="18"/>
          <w:szCs w:val="18"/>
          <w:lang w:eastAsia="id-ID"/>
        </w:rPr>
        <w:t>3</w:t>
      </w:r>
      <w:r w:rsidRPr="004634ED">
        <w:rPr>
          <w:rFonts w:eastAsia="Times New Roman"/>
          <w:sz w:val="18"/>
          <w:szCs w:val="18"/>
          <w:lang w:eastAsia="id-ID"/>
        </w:rPr>
        <w:t>(4), p.339. (1979)</w:t>
      </w:r>
    </w:p>
    <w:p w:rsidR="00474E86" w:rsidRPr="004634ED" w:rsidRDefault="00474E86" w:rsidP="00474E86">
      <w:pPr>
        <w:numPr>
          <w:ilvl w:val="0"/>
          <w:numId w:val="4"/>
        </w:numPr>
        <w:autoSpaceDE w:val="0"/>
        <w:autoSpaceDN w:val="0"/>
        <w:adjustRightInd w:val="0"/>
        <w:ind w:left="567" w:hanging="567"/>
        <w:jc w:val="left"/>
        <w:rPr>
          <w:rFonts w:eastAsia="Times New Roman"/>
          <w:sz w:val="18"/>
          <w:szCs w:val="18"/>
          <w:lang w:eastAsia="id-ID"/>
        </w:rPr>
      </w:pPr>
      <w:r w:rsidRPr="004634ED">
        <w:rPr>
          <w:sz w:val="18"/>
          <w:szCs w:val="18"/>
        </w:rPr>
        <w:t xml:space="preserve">M.J., Farrell. The measurement of productive efficiency. </w:t>
      </w:r>
      <w:r w:rsidRPr="004634ED">
        <w:rPr>
          <w:i/>
          <w:iCs/>
          <w:sz w:val="18"/>
          <w:szCs w:val="18"/>
        </w:rPr>
        <w:t>Journal of the Royal Statistical Society. Series A (General)</w:t>
      </w:r>
      <w:r w:rsidRPr="004634ED">
        <w:rPr>
          <w:sz w:val="18"/>
          <w:szCs w:val="18"/>
        </w:rPr>
        <w:t xml:space="preserve">, (1957) </w:t>
      </w:r>
      <w:r w:rsidRPr="004634ED">
        <w:rPr>
          <w:i/>
          <w:iCs/>
          <w:sz w:val="18"/>
          <w:szCs w:val="18"/>
        </w:rPr>
        <w:t>120</w:t>
      </w:r>
      <w:r w:rsidRPr="004634ED">
        <w:rPr>
          <w:sz w:val="18"/>
          <w:szCs w:val="18"/>
        </w:rPr>
        <w:t>(3), pp.253-290.</w:t>
      </w:r>
      <w:r w:rsidRPr="004634ED">
        <w:rPr>
          <w:sz w:val="18"/>
          <w:szCs w:val="18"/>
          <w:lang w:val="es-ES"/>
        </w:rPr>
        <w:t xml:space="preserve"> </w:t>
      </w:r>
    </w:p>
    <w:p w:rsidR="004634ED" w:rsidRPr="004634ED" w:rsidRDefault="004634ED" w:rsidP="004634ED">
      <w:pPr>
        <w:numPr>
          <w:ilvl w:val="0"/>
          <w:numId w:val="4"/>
        </w:numPr>
        <w:autoSpaceDE w:val="0"/>
        <w:autoSpaceDN w:val="0"/>
        <w:adjustRightInd w:val="0"/>
        <w:ind w:left="567" w:hanging="567"/>
        <w:jc w:val="left"/>
        <w:rPr>
          <w:sz w:val="18"/>
          <w:szCs w:val="18"/>
        </w:rPr>
      </w:pPr>
      <w:r w:rsidRPr="004634ED">
        <w:rPr>
          <w:sz w:val="18"/>
          <w:szCs w:val="18"/>
        </w:rPr>
        <w:t xml:space="preserve">R. Fare, , S. Grosskopf and, C.K. Lovell,. </w:t>
      </w:r>
      <w:r w:rsidRPr="004634ED">
        <w:rPr>
          <w:i/>
          <w:iCs/>
          <w:sz w:val="18"/>
          <w:szCs w:val="18"/>
        </w:rPr>
        <w:t>Production frontiers</w:t>
      </w:r>
      <w:r w:rsidRPr="004634ED">
        <w:rPr>
          <w:sz w:val="18"/>
          <w:szCs w:val="18"/>
        </w:rPr>
        <w:t>. Cambridge University Press. (1994)</w:t>
      </w:r>
    </w:p>
    <w:p w:rsidR="004634ED" w:rsidRPr="004634ED" w:rsidRDefault="004634ED" w:rsidP="004634ED">
      <w:pPr>
        <w:numPr>
          <w:ilvl w:val="0"/>
          <w:numId w:val="4"/>
        </w:numPr>
        <w:autoSpaceDE w:val="0"/>
        <w:autoSpaceDN w:val="0"/>
        <w:adjustRightInd w:val="0"/>
        <w:ind w:left="567" w:hanging="567"/>
        <w:jc w:val="left"/>
        <w:rPr>
          <w:sz w:val="18"/>
          <w:szCs w:val="18"/>
        </w:rPr>
      </w:pPr>
      <w:r w:rsidRPr="004634ED">
        <w:rPr>
          <w:sz w:val="18"/>
          <w:szCs w:val="18"/>
        </w:rPr>
        <w:t xml:space="preserve">L.M. Seiford and, J., Zhu. An investigation of returns to scale in data envelopment analysis. </w:t>
      </w:r>
      <w:r w:rsidRPr="004634ED">
        <w:rPr>
          <w:i/>
          <w:iCs/>
          <w:sz w:val="18"/>
          <w:szCs w:val="18"/>
        </w:rPr>
        <w:t>Omega</w:t>
      </w:r>
      <w:r w:rsidRPr="004634ED">
        <w:rPr>
          <w:sz w:val="18"/>
          <w:szCs w:val="18"/>
        </w:rPr>
        <w:t xml:space="preserve">, (1999) </w:t>
      </w:r>
      <w:r w:rsidRPr="004634ED">
        <w:rPr>
          <w:i/>
          <w:iCs/>
          <w:sz w:val="18"/>
          <w:szCs w:val="18"/>
        </w:rPr>
        <w:t>27</w:t>
      </w:r>
      <w:r w:rsidRPr="004634ED">
        <w:rPr>
          <w:sz w:val="18"/>
          <w:szCs w:val="18"/>
        </w:rPr>
        <w:t>(1), pp.1-11.</w:t>
      </w:r>
      <w:r w:rsidRPr="004634ED">
        <w:rPr>
          <w:sz w:val="18"/>
          <w:szCs w:val="18"/>
        </w:rPr>
        <w:fldChar w:fldCharType="begin"/>
      </w:r>
      <w:r w:rsidRPr="004634ED">
        <w:rPr>
          <w:sz w:val="18"/>
          <w:szCs w:val="18"/>
        </w:rPr>
        <w:instrText xml:space="preserve"> ADDIN EN.REFLIST </w:instrText>
      </w:r>
      <w:r w:rsidRPr="004634ED">
        <w:rPr>
          <w:sz w:val="18"/>
          <w:szCs w:val="18"/>
        </w:rPr>
        <w:fldChar w:fldCharType="end"/>
      </w:r>
    </w:p>
    <w:p w:rsidR="004634ED" w:rsidRPr="00474E86" w:rsidRDefault="004634ED" w:rsidP="00474E86">
      <w:pPr>
        <w:autoSpaceDE w:val="0"/>
        <w:autoSpaceDN w:val="0"/>
        <w:adjustRightInd w:val="0"/>
        <w:rPr>
          <w:sz w:val="22"/>
          <w:szCs w:val="22"/>
          <w:lang w:val="id-ID"/>
        </w:rPr>
        <w:sectPr w:rsidR="004634ED" w:rsidRPr="00474E86" w:rsidSect="00DF20C0">
          <w:footerReference w:type="default" r:id="rId14"/>
          <w:type w:val="continuous"/>
          <w:pgSz w:w="11900" w:h="16838" w:code="9"/>
          <w:pgMar w:top="1253" w:right="567" w:bottom="873" w:left="567" w:header="0" w:footer="720" w:gutter="0"/>
          <w:cols w:num="2" w:space="493"/>
          <w:noEndnote/>
        </w:sectPr>
      </w:pPr>
      <w:r w:rsidRPr="00CD6546">
        <w:rPr>
          <w:kern w:val="0"/>
          <w:sz w:val="18"/>
          <w:szCs w:val="18"/>
        </w:rPr>
        <w:t xml:space="preserve">Received: 2 </w:t>
      </w:r>
      <w:r>
        <w:rPr>
          <w:kern w:val="0"/>
          <w:sz w:val="18"/>
          <w:szCs w:val="18"/>
          <w:lang w:val="id-ID"/>
        </w:rPr>
        <w:t xml:space="preserve">April </w:t>
      </w:r>
      <w:r w:rsidRPr="00CD6546">
        <w:rPr>
          <w:kern w:val="0"/>
          <w:sz w:val="18"/>
          <w:szCs w:val="18"/>
        </w:rPr>
        <w:t>201</w:t>
      </w:r>
      <w:r>
        <w:rPr>
          <w:kern w:val="0"/>
          <w:sz w:val="18"/>
          <w:szCs w:val="18"/>
          <w:lang w:val="id-ID"/>
        </w:rPr>
        <w:t>6</w:t>
      </w:r>
      <w:r w:rsidRPr="00CD6546">
        <w:rPr>
          <w:kern w:val="0"/>
          <w:sz w:val="18"/>
          <w:szCs w:val="18"/>
        </w:rPr>
        <w:t xml:space="preserve">. Accepted: </w:t>
      </w:r>
      <w:r>
        <w:rPr>
          <w:kern w:val="0"/>
          <w:sz w:val="18"/>
          <w:szCs w:val="18"/>
          <w:lang w:val="id-ID"/>
        </w:rPr>
        <w:t xml:space="preserve">9 June </w:t>
      </w:r>
      <w:r w:rsidRPr="00CD6546">
        <w:rPr>
          <w:kern w:val="0"/>
          <w:sz w:val="18"/>
          <w:szCs w:val="18"/>
        </w:rPr>
        <w:t>201</w:t>
      </w:r>
      <w:r w:rsidR="00474E86">
        <w:rPr>
          <w:kern w:val="0"/>
          <w:sz w:val="18"/>
          <w:szCs w:val="18"/>
          <w:lang w:val="id-ID"/>
        </w:rPr>
        <w:t>6</w:t>
      </w:r>
    </w:p>
    <w:p w:rsidR="0054176A" w:rsidRPr="00474E86" w:rsidRDefault="0054176A" w:rsidP="00474E86">
      <w:pPr>
        <w:autoSpaceDE w:val="0"/>
        <w:autoSpaceDN w:val="0"/>
        <w:adjustRightInd w:val="0"/>
        <w:spacing w:beforeLines="100" w:before="240" w:afterLines="100" w:after="240"/>
        <w:jc w:val="left"/>
        <w:rPr>
          <w:color w:val="000000"/>
          <w:kern w:val="0"/>
          <w:sz w:val="20"/>
          <w:szCs w:val="20"/>
          <w:lang w:val="id-ID"/>
        </w:rPr>
      </w:pPr>
      <w:bookmarkStart w:id="2" w:name="page2"/>
      <w:bookmarkEnd w:id="2"/>
    </w:p>
    <w:sectPr w:rsidR="0054176A" w:rsidRPr="00474E86" w:rsidSect="004634ED">
      <w:footerReference w:type="default" r:id="rId15"/>
      <w:pgSz w:w="11900" w:h="16838" w:code="9"/>
      <w:pgMar w:top="1253" w:right="567" w:bottom="873" w:left="567" w:header="0" w:footer="720" w:gutter="0"/>
      <w:cols w:num="2" w:space="493"/>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A8" w:rsidRDefault="00AB00A8">
      <w:r>
        <w:separator/>
      </w:r>
    </w:p>
  </w:endnote>
  <w:endnote w:type="continuationSeparator" w:id="0">
    <w:p w:rsidR="00AB00A8" w:rsidRDefault="00AB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61" w:rsidRDefault="00004616" w:rsidP="00F714CD">
    <w:pPr>
      <w:pStyle w:val="Footer"/>
      <w:jc w:val="right"/>
    </w:pPr>
    <w:r>
      <w:rPr>
        <w:rStyle w:val="PageNumber"/>
      </w:rPr>
      <w:fldChar w:fldCharType="begin"/>
    </w:r>
    <w:r w:rsidR="00FE4F61">
      <w:rPr>
        <w:rStyle w:val="PageNumber"/>
      </w:rPr>
      <w:instrText xml:space="preserve"> PAGE </w:instrText>
    </w:r>
    <w:r>
      <w:rPr>
        <w:rStyle w:val="PageNumber"/>
      </w:rPr>
      <w:fldChar w:fldCharType="separate"/>
    </w:r>
    <w:r w:rsidR="005B55A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61" w:rsidRPr="002E017F" w:rsidRDefault="00004616" w:rsidP="0077077F">
    <w:pPr>
      <w:pStyle w:val="Footer"/>
    </w:pPr>
    <w:r>
      <w:rPr>
        <w:rStyle w:val="PageNumber"/>
      </w:rPr>
      <w:fldChar w:fldCharType="begin"/>
    </w:r>
    <w:r w:rsidR="00FE4F61">
      <w:rPr>
        <w:rStyle w:val="PageNumber"/>
      </w:rPr>
      <w:instrText xml:space="preserve"> PAGE </w:instrText>
    </w:r>
    <w:r>
      <w:rPr>
        <w:rStyle w:val="PageNumber"/>
      </w:rPr>
      <w:fldChar w:fldCharType="separate"/>
    </w:r>
    <w:r w:rsidR="005B55A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ED" w:rsidRPr="00B073D0" w:rsidRDefault="004634ED" w:rsidP="00F714CD">
    <w:pPr>
      <w:pStyle w:val="Footer"/>
    </w:pPr>
    <w:r>
      <w:rPr>
        <w:rStyle w:val="PageNumber"/>
      </w:rPr>
      <w:fldChar w:fldCharType="begin"/>
    </w:r>
    <w:r>
      <w:rPr>
        <w:rStyle w:val="PageNumber"/>
      </w:rPr>
      <w:instrText xml:space="preserve"> PAGE </w:instrText>
    </w:r>
    <w:r>
      <w:rPr>
        <w:rStyle w:val="PageNumber"/>
      </w:rPr>
      <w:fldChar w:fldCharType="separate"/>
    </w:r>
    <w:r w:rsidR="005B55A3">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61" w:rsidRPr="00B073D0" w:rsidRDefault="00004616" w:rsidP="00F714CD">
    <w:pPr>
      <w:pStyle w:val="Footer"/>
    </w:pPr>
    <w:r>
      <w:rPr>
        <w:rStyle w:val="PageNumber"/>
      </w:rPr>
      <w:fldChar w:fldCharType="begin"/>
    </w:r>
    <w:r w:rsidR="00FE4F61">
      <w:rPr>
        <w:rStyle w:val="PageNumber"/>
      </w:rPr>
      <w:instrText xml:space="preserve"> PAGE </w:instrText>
    </w:r>
    <w:r>
      <w:rPr>
        <w:rStyle w:val="PageNumber"/>
      </w:rPr>
      <w:fldChar w:fldCharType="separate"/>
    </w:r>
    <w:r w:rsidR="00474E8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A8" w:rsidRDefault="00AB00A8">
      <w:r>
        <w:separator/>
      </w:r>
    </w:p>
  </w:footnote>
  <w:footnote w:type="continuationSeparator" w:id="0">
    <w:p w:rsidR="00AB00A8" w:rsidRDefault="00AB0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61" w:rsidRDefault="00FE4F61" w:rsidP="00560D70">
    <w:pPr>
      <w:pStyle w:val="Header"/>
      <w:pBdr>
        <w:bottom w:val="none" w:sz="0" w:space="0" w:color="auto"/>
      </w:pBdr>
      <w:shd w:val="clear" w:color="auto" w:fill="C0C0C0"/>
      <w:ind w:left="-567" w:right="-567"/>
      <w:rPr>
        <w:sz w:val="28"/>
        <w:szCs w:val="28"/>
      </w:rPr>
    </w:pPr>
  </w:p>
  <w:p w:rsidR="00FE4F61" w:rsidRPr="00560D70" w:rsidRDefault="00FE4F61" w:rsidP="00560D70">
    <w:pPr>
      <w:pStyle w:val="Header"/>
      <w:pBdr>
        <w:bottom w:val="none" w:sz="0" w:space="0" w:color="auto"/>
      </w:pBdr>
      <w:shd w:val="clear" w:color="auto" w:fill="C0C0C0"/>
      <w:ind w:left="-567" w:right="-567"/>
      <w:rPr>
        <w:sz w:val="36"/>
        <w:szCs w:val="36"/>
      </w:rPr>
    </w:pPr>
    <w:r w:rsidRPr="00560D70">
      <w:rPr>
        <w:sz w:val="28"/>
        <w:szCs w:val="28"/>
      </w:rPr>
      <w:t xml:space="preserve">Adv. Sci. Lett. </w:t>
    </w:r>
    <w:r w:rsidR="0077077F">
      <w:rPr>
        <w:sz w:val="28"/>
        <w:szCs w:val="28"/>
      </w:rPr>
      <w:t>X</w:t>
    </w:r>
    <w:r w:rsidRPr="00560D70">
      <w:rPr>
        <w:sz w:val="28"/>
        <w:szCs w:val="28"/>
      </w:rPr>
      <w:t xml:space="preserve">, </w:t>
    </w:r>
    <w:r w:rsidR="0077077F">
      <w:rPr>
        <w:sz w:val="28"/>
        <w:szCs w:val="28"/>
      </w:rPr>
      <w:t>XXX</w:t>
    </w:r>
    <w:r w:rsidRPr="00560D70">
      <w:rPr>
        <w:sz w:val="28"/>
        <w:szCs w:val="28"/>
      </w:rPr>
      <w:t>–</w:t>
    </w:r>
    <w:r w:rsidR="0077077F">
      <w:rPr>
        <w:sz w:val="28"/>
        <w:szCs w:val="28"/>
      </w:rPr>
      <w:t>XXX</w:t>
    </w:r>
    <w:r w:rsidRPr="00560D70">
      <w:rPr>
        <w:sz w:val="28"/>
        <w:szCs w:val="28"/>
      </w:rPr>
      <w:t>, 201</w:t>
    </w:r>
    <w:r w:rsidR="0077077F">
      <w:rPr>
        <w:sz w:val="28"/>
        <w:szCs w:val="28"/>
      </w:rPr>
      <w:t>5</w:t>
    </w:r>
    <w:r w:rsidRPr="00560D70">
      <w:rPr>
        <w:sz w:val="36"/>
        <w:szCs w:val="36"/>
      </w:rPr>
      <w:t>RESEARCH ARTICLE</w:t>
    </w:r>
  </w:p>
  <w:p w:rsidR="00FE4F61" w:rsidRPr="00D43AA7" w:rsidRDefault="00FE4F61" w:rsidP="00592C76">
    <w:pPr>
      <w:pStyle w:val="Header"/>
      <w:pBdr>
        <w:bottom w:val="none" w:sz="0" w:space="0" w:color="auto"/>
      </w:pBdr>
      <w:shd w:val="clear" w:color="auto" w:fill="C0C0C0"/>
      <w:spacing w:after="240"/>
      <w:ind w:left="-567" w:righ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61" w:rsidRDefault="00FE4F61" w:rsidP="00C27DD6">
    <w:pPr>
      <w:pStyle w:val="Header"/>
      <w:pBdr>
        <w:bottom w:val="none" w:sz="0" w:space="0" w:color="auto"/>
      </w:pBdr>
      <w:shd w:val="clear" w:color="auto" w:fill="C0C0C0"/>
      <w:ind w:left="-567" w:right="-567"/>
      <w:rPr>
        <w:sz w:val="28"/>
        <w:szCs w:val="28"/>
      </w:rPr>
    </w:pPr>
  </w:p>
  <w:p w:rsidR="00FE4F61" w:rsidRDefault="00FE4F61" w:rsidP="00C27DD6">
    <w:pPr>
      <w:pStyle w:val="Header"/>
      <w:pBdr>
        <w:bottom w:val="none" w:sz="0" w:space="0" w:color="auto"/>
      </w:pBdr>
      <w:shd w:val="clear" w:color="auto" w:fill="C0C0C0"/>
      <w:ind w:left="-567" w:right="-567"/>
      <w:rPr>
        <w:sz w:val="36"/>
        <w:szCs w:val="36"/>
      </w:rPr>
    </w:pPr>
    <w:r w:rsidRPr="00560D70">
      <w:rPr>
        <w:sz w:val="36"/>
        <w:szCs w:val="36"/>
      </w:rPr>
      <w:t>RESEARCH ARTICLE</w:t>
    </w:r>
    <w:r w:rsidR="0077077F">
      <w:rPr>
        <w:sz w:val="28"/>
        <w:szCs w:val="28"/>
      </w:rPr>
      <w:t>XXXXXXXXXXXXXXXXX</w:t>
    </w:r>
  </w:p>
  <w:p w:rsidR="00FE4F61" w:rsidRPr="00C27DD6" w:rsidRDefault="00FE4F61" w:rsidP="00C27DD6">
    <w:pPr>
      <w:pStyle w:val="Header"/>
      <w:pBdr>
        <w:bottom w:val="none" w:sz="0" w:space="0" w:color="auto"/>
      </w:pBdr>
      <w:shd w:val="clear" w:color="auto" w:fill="C0C0C0"/>
      <w:ind w:left="-567" w:right="-567"/>
      <w:rPr>
        <w:sz w:val="16"/>
        <w:szCs w:val="16"/>
      </w:rPr>
    </w:pPr>
  </w:p>
  <w:p w:rsidR="00FE4F61" w:rsidRPr="00C27DD6" w:rsidRDefault="00FE4F61" w:rsidP="00C27D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61" w:rsidRPr="00F775EF" w:rsidRDefault="00FE4F61" w:rsidP="00690976">
    <w:pPr>
      <w:tabs>
        <w:tab w:val="left" w:pos="5720"/>
      </w:tabs>
      <w:autoSpaceDE w:val="0"/>
      <w:autoSpaceDN w:val="0"/>
      <w:adjustRightInd w:val="0"/>
      <w:rPr>
        <w:sz w:val="18"/>
        <w:szCs w:val="18"/>
      </w:rPr>
    </w:pPr>
    <w:r w:rsidRPr="00F775EF">
      <w:rPr>
        <w:rFonts w:cs="Arial"/>
        <w:i/>
        <w:iCs/>
        <w:color w:val="000000"/>
        <w:sz w:val="18"/>
        <w:szCs w:val="18"/>
      </w:rPr>
      <w:t xml:space="preserve">Applied Mathematics &amp; Information Sciences                    </w:t>
    </w:r>
    <w:r w:rsidRPr="00F775EF">
      <w:rPr>
        <w:sz w:val="18"/>
        <w:szCs w:val="18"/>
      </w:rPr>
      <w:t xml:space="preserve">        6</w:t>
    </w:r>
    <w:r w:rsidRPr="00F775EF">
      <w:rPr>
        <w:rFonts w:cs="Arial"/>
        <w:color w:val="000000"/>
        <w:sz w:val="18"/>
        <w:szCs w:val="18"/>
      </w:rPr>
      <w:t xml:space="preserve"> (1) (201</w:t>
    </w:r>
    <w:r>
      <w:rPr>
        <w:rFonts w:cs="Arial"/>
        <w:color w:val="000000"/>
        <w:sz w:val="18"/>
        <w:szCs w:val="18"/>
      </w:rPr>
      <w:t>2</w:t>
    </w:r>
    <w:r w:rsidRPr="00F775EF">
      <w:rPr>
        <w:rFonts w:cs="Arial"/>
        <w:color w:val="000000"/>
        <w:sz w:val="18"/>
        <w:szCs w:val="18"/>
      </w:rPr>
      <w:t xml:space="preserve">), </w:t>
    </w:r>
    <w:r>
      <w:rPr>
        <w:rFonts w:cs="Arial"/>
        <w:color w:val="000000"/>
        <w:sz w:val="18"/>
        <w:szCs w:val="18"/>
      </w:rPr>
      <w:t>1S</w:t>
    </w:r>
    <w:r w:rsidRPr="00F775EF">
      <w:rPr>
        <w:rFonts w:cs="Arial"/>
        <w:color w:val="000000"/>
        <w:sz w:val="18"/>
        <w:szCs w:val="18"/>
      </w:rPr>
      <w:t>-</w:t>
    </w:r>
    <w:r>
      <w:rPr>
        <w:rFonts w:cs="Arial"/>
        <w:color w:val="000000"/>
        <w:sz w:val="18"/>
        <w:szCs w:val="18"/>
      </w:rPr>
      <w:t>7</w:t>
    </w:r>
    <w:r w:rsidRPr="00F775EF">
      <w:rPr>
        <w:sz w:val="18"/>
        <w:szCs w:val="18"/>
      </w:rPr>
      <w:t>S</w:t>
    </w:r>
  </w:p>
  <w:p w:rsidR="00FE4F61" w:rsidRPr="00F775EF" w:rsidRDefault="00FE4F61" w:rsidP="00497670">
    <w:pPr>
      <w:autoSpaceDE w:val="0"/>
      <w:autoSpaceDN w:val="0"/>
      <w:adjustRightInd w:val="0"/>
      <w:spacing w:line="48" w:lineRule="exact"/>
      <w:rPr>
        <w:sz w:val="18"/>
        <w:szCs w:val="18"/>
      </w:rPr>
    </w:pPr>
  </w:p>
  <w:p w:rsidR="00FE4F61" w:rsidRPr="00F775EF" w:rsidRDefault="00FE4F61" w:rsidP="00497670">
    <w:pPr>
      <w:autoSpaceDE w:val="0"/>
      <w:autoSpaceDN w:val="0"/>
      <w:adjustRightInd w:val="0"/>
      <w:rPr>
        <w:sz w:val="18"/>
        <w:szCs w:val="18"/>
      </w:rPr>
    </w:pPr>
    <w:r w:rsidRPr="00F775EF">
      <w:rPr>
        <w:rFonts w:cs="Arial"/>
        <w:color w:val="000000"/>
        <w:sz w:val="18"/>
        <w:szCs w:val="18"/>
      </w:rPr>
      <w:t>– An International Journal</w:t>
    </w:r>
  </w:p>
  <w:p w:rsidR="00FE4F61" w:rsidRPr="00F775EF" w:rsidRDefault="00FE4F61" w:rsidP="00497670">
    <w:pPr>
      <w:autoSpaceDE w:val="0"/>
      <w:autoSpaceDN w:val="0"/>
      <w:adjustRightInd w:val="0"/>
      <w:spacing w:line="38" w:lineRule="exact"/>
      <w:rPr>
        <w:rFonts w:ascii="SimSun"/>
        <w:sz w:val="18"/>
        <w:szCs w:val="18"/>
      </w:rPr>
    </w:pPr>
  </w:p>
  <w:p w:rsidR="00FE4F61" w:rsidRPr="00F371DC" w:rsidRDefault="00FE4F61" w:rsidP="003C6600">
    <w:pPr>
      <w:pBdr>
        <w:bottom w:val="single" w:sz="6" w:space="1" w:color="auto"/>
      </w:pBdr>
      <w:autoSpaceDE w:val="0"/>
      <w:autoSpaceDN w:val="0"/>
      <w:adjustRightInd w:val="0"/>
    </w:pPr>
    <w:r w:rsidRPr="00F775EF">
      <w:rPr>
        <w:rFonts w:ascii="Arial" w:hAnsi="Arial" w:cs="Arial"/>
        <w:color w:val="000000"/>
        <w:sz w:val="18"/>
        <w:szCs w:val="18"/>
      </w:rPr>
      <w:t>©</w:t>
    </w:r>
    <w:r w:rsidRPr="00F775EF">
      <w:rPr>
        <w:rFonts w:cs="Arial"/>
        <w:color w:val="000000"/>
        <w:sz w:val="18"/>
        <w:szCs w:val="18"/>
      </w:rPr>
      <w:t xml:space="preserve"> 2012 NSP</w:t>
    </w:r>
    <w:r>
      <w:rPr>
        <w:rStyle w:val="PageNumber"/>
      </w:rPr>
      <w:tab/>
    </w:r>
    <w:r>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6877722"/>
    <w:multiLevelType w:val="hybridMultilevel"/>
    <w:tmpl w:val="717E4FC4"/>
    <w:lvl w:ilvl="0" w:tplc="5E4A94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91B1982"/>
    <w:multiLevelType w:val="hybridMultilevel"/>
    <w:tmpl w:val="649C2CEC"/>
    <w:lvl w:ilvl="0" w:tplc="AAB45CC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2AC45102"/>
    <w:multiLevelType w:val="hybridMultilevel"/>
    <w:tmpl w:val="49D60094"/>
    <w:lvl w:ilvl="0" w:tplc="EEBC493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4B792290"/>
    <w:multiLevelType w:val="multilevel"/>
    <w:tmpl w:val="DBB6898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5C"/>
    <w:rsid w:val="00002B96"/>
    <w:rsid w:val="00004616"/>
    <w:rsid w:val="0000606D"/>
    <w:rsid w:val="00014A04"/>
    <w:rsid w:val="000225E0"/>
    <w:rsid w:val="00025B93"/>
    <w:rsid w:val="00026090"/>
    <w:rsid w:val="00030F38"/>
    <w:rsid w:val="00033BE5"/>
    <w:rsid w:val="000420DF"/>
    <w:rsid w:val="00051F71"/>
    <w:rsid w:val="000558E4"/>
    <w:rsid w:val="0006020E"/>
    <w:rsid w:val="00076774"/>
    <w:rsid w:val="00077EBE"/>
    <w:rsid w:val="00080CC9"/>
    <w:rsid w:val="00087B83"/>
    <w:rsid w:val="000979AA"/>
    <w:rsid w:val="000A0802"/>
    <w:rsid w:val="000A6FBF"/>
    <w:rsid w:val="000D68D1"/>
    <w:rsid w:val="000D7056"/>
    <w:rsid w:val="000E49EC"/>
    <w:rsid w:val="000F0790"/>
    <w:rsid w:val="000F211E"/>
    <w:rsid w:val="001070DB"/>
    <w:rsid w:val="001134E6"/>
    <w:rsid w:val="001329E8"/>
    <w:rsid w:val="001402CB"/>
    <w:rsid w:val="00156FD5"/>
    <w:rsid w:val="00162E3E"/>
    <w:rsid w:val="00164A79"/>
    <w:rsid w:val="001706BF"/>
    <w:rsid w:val="00177336"/>
    <w:rsid w:val="001A519D"/>
    <w:rsid w:val="001B4C8D"/>
    <w:rsid w:val="001C64EC"/>
    <w:rsid w:val="001D2DA2"/>
    <w:rsid w:val="001D5F02"/>
    <w:rsid w:val="001F31DC"/>
    <w:rsid w:val="001F68B7"/>
    <w:rsid w:val="002243FE"/>
    <w:rsid w:val="00230C34"/>
    <w:rsid w:val="00231289"/>
    <w:rsid w:val="00242F21"/>
    <w:rsid w:val="002503C4"/>
    <w:rsid w:val="00250909"/>
    <w:rsid w:val="00253AF9"/>
    <w:rsid w:val="00253D86"/>
    <w:rsid w:val="00260BA2"/>
    <w:rsid w:val="00270B7D"/>
    <w:rsid w:val="002739E3"/>
    <w:rsid w:val="00287486"/>
    <w:rsid w:val="002921A7"/>
    <w:rsid w:val="002A3D36"/>
    <w:rsid w:val="002C11BE"/>
    <w:rsid w:val="002C17A3"/>
    <w:rsid w:val="002C7024"/>
    <w:rsid w:val="002D093D"/>
    <w:rsid w:val="002D307D"/>
    <w:rsid w:val="002D4C9C"/>
    <w:rsid w:val="002D6D43"/>
    <w:rsid w:val="002E017F"/>
    <w:rsid w:val="00300116"/>
    <w:rsid w:val="0030181F"/>
    <w:rsid w:val="00301AA7"/>
    <w:rsid w:val="00306DE9"/>
    <w:rsid w:val="00311A88"/>
    <w:rsid w:val="003128A1"/>
    <w:rsid w:val="00317F87"/>
    <w:rsid w:val="00333BD3"/>
    <w:rsid w:val="00343AAB"/>
    <w:rsid w:val="0035656E"/>
    <w:rsid w:val="0035670E"/>
    <w:rsid w:val="00357666"/>
    <w:rsid w:val="00361145"/>
    <w:rsid w:val="003611FF"/>
    <w:rsid w:val="00392EB9"/>
    <w:rsid w:val="00394F8C"/>
    <w:rsid w:val="00395455"/>
    <w:rsid w:val="00396A05"/>
    <w:rsid w:val="003A38A8"/>
    <w:rsid w:val="003B34FA"/>
    <w:rsid w:val="003B6059"/>
    <w:rsid w:val="003C402F"/>
    <w:rsid w:val="003C6600"/>
    <w:rsid w:val="003D12FD"/>
    <w:rsid w:val="003D1C7B"/>
    <w:rsid w:val="003D63C6"/>
    <w:rsid w:val="003F0BF7"/>
    <w:rsid w:val="00403D09"/>
    <w:rsid w:val="00417597"/>
    <w:rsid w:val="00430336"/>
    <w:rsid w:val="00442ECA"/>
    <w:rsid w:val="004449CB"/>
    <w:rsid w:val="00451DFD"/>
    <w:rsid w:val="004634ED"/>
    <w:rsid w:val="0046757F"/>
    <w:rsid w:val="0047037C"/>
    <w:rsid w:val="00474E86"/>
    <w:rsid w:val="00481EB4"/>
    <w:rsid w:val="00491591"/>
    <w:rsid w:val="00495AE3"/>
    <w:rsid w:val="00497670"/>
    <w:rsid w:val="004A6E64"/>
    <w:rsid w:val="004A7F37"/>
    <w:rsid w:val="004B051B"/>
    <w:rsid w:val="004B35D8"/>
    <w:rsid w:val="004B36AB"/>
    <w:rsid w:val="004B4C1D"/>
    <w:rsid w:val="004B55F9"/>
    <w:rsid w:val="004F6CC9"/>
    <w:rsid w:val="00501ACC"/>
    <w:rsid w:val="0050467D"/>
    <w:rsid w:val="0051160A"/>
    <w:rsid w:val="00512D94"/>
    <w:rsid w:val="005213B7"/>
    <w:rsid w:val="0053394A"/>
    <w:rsid w:val="005343E6"/>
    <w:rsid w:val="00536CEC"/>
    <w:rsid w:val="0054176A"/>
    <w:rsid w:val="00542B7A"/>
    <w:rsid w:val="00543FDE"/>
    <w:rsid w:val="0055592E"/>
    <w:rsid w:val="00560D70"/>
    <w:rsid w:val="00566FFA"/>
    <w:rsid w:val="0058046F"/>
    <w:rsid w:val="00591B03"/>
    <w:rsid w:val="00592C76"/>
    <w:rsid w:val="00592CFB"/>
    <w:rsid w:val="00597900"/>
    <w:rsid w:val="005A4E59"/>
    <w:rsid w:val="005B55A3"/>
    <w:rsid w:val="005C3CDC"/>
    <w:rsid w:val="005C5803"/>
    <w:rsid w:val="005D0D82"/>
    <w:rsid w:val="005E2BF0"/>
    <w:rsid w:val="005E3173"/>
    <w:rsid w:val="005E5EBA"/>
    <w:rsid w:val="005E74CB"/>
    <w:rsid w:val="005F6C47"/>
    <w:rsid w:val="006015DC"/>
    <w:rsid w:val="006039A3"/>
    <w:rsid w:val="00611F7E"/>
    <w:rsid w:val="006165BF"/>
    <w:rsid w:val="006218F9"/>
    <w:rsid w:val="00646525"/>
    <w:rsid w:val="00664D98"/>
    <w:rsid w:val="006678C7"/>
    <w:rsid w:val="00670D20"/>
    <w:rsid w:val="006858E6"/>
    <w:rsid w:val="00685D4E"/>
    <w:rsid w:val="00686E24"/>
    <w:rsid w:val="00690976"/>
    <w:rsid w:val="006A2579"/>
    <w:rsid w:val="006B37DD"/>
    <w:rsid w:val="006C2390"/>
    <w:rsid w:val="006C5CBD"/>
    <w:rsid w:val="006C64BA"/>
    <w:rsid w:val="006C72B6"/>
    <w:rsid w:val="006D4368"/>
    <w:rsid w:val="006D4BCD"/>
    <w:rsid w:val="006D6C57"/>
    <w:rsid w:val="006E066A"/>
    <w:rsid w:val="006E20DF"/>
    <w:rsid w:val="006F6766"/>
    <w:rsid w:val="00707123"/>
    <w:rsid w:val="00711FA5"/>
    <w:rsid w:val="00714896"/>
    <w:rsid w:val="007406D0"/>
    <w:rsid w:val="0074311E"/>
    <w:rsid w:val="00745E3C"/>
    <w:rsid w:val="00754233"/>
    <w:rsid w:val="007549B8"/>
    <w:rsid w:val="00763DD3"/>
    <w:rsid w:val="0077077F"/>
    <w:rsid w:val="0078272B"/>
    <w:rsid w:val="00784254"/>
    <w:rsid w:val="00785347"/>
    <w:rsid w:val="007A2C5C"/>
    <w:rsid w:val="007A4CEF"/>
    <w:rsid w:val="007B0A41"/>
    <w:rsid w:val="007B231B"/>
    <w:rsid w:val="007F0AE2"/>
    <w:rsid w:val="007F254B"/>
    <w:rsid w:val="007F2CCD"/>
    <w:rsid w:val="007F7F5D"/>
    <w:rsid w:val="00806EE2"/>
    <w:rsid w:val="00807AA0"/>
    <w:rsid w:val="00807D8F"/>
    <w:rsid w:val="00821457"/>
    <w:rsid w:val="008309DB"/>
    <w:rsid w:val="0083439F"/>
    <w:rsid w:val="00836D67"/>
    <w:rsid w:val="00874861"/>
    <w:rsid w:val="0087492B"/>
    <w:rsid w:val="00891135"/>
    <w:rsid w:val="00895FBA"/>
    <w:rsid w:val="008B04C6"/>
    <w:rsid w:val="008C54D0"/>
    <w:rsid w:val="008D088D"/>
    <w:rsid w:val="00904EFE"/>
    <w:rsid w:val="0090678B"/>
    <w:rsid w:val="00906E24"/>
    <w:rsid w:val="009151D4"/>
    <w:rsid w:val="00922F7F"/>
    <w:rsid w:val="00926014"/>
    <w:rsid w:val="009263DF"/>
    <w:rsid w:val="00952A1D"/>
    <w:rsid w:val="00956985"/>
    <w:rsid w:val="00976939"/>
    <w:rsid w:val="00981001"/>
    <w:rsid w:val="00990351"/>
    <w:rsid w:val="00994442"/>
    <w:rsid w:val="009944A8"/>
    <w:rsid w:val="00996DB2"/>
    <w:rsid w:val="009A1889"/>
    <w:rsid w:val="009B27CD"/>
    <w:rsid w:val="009C31A2"/>
    <w:rsid w:val="009E2B83"/>
    <w:rsid w:val="009F7F41"/>
    <w:rsid w:val="00A11253"/>
    <w:rsid w:val="00A21A61"/>
    <w:rsid w:val="00A231F3"/>
    <w:rsid w:val="00A3206E"/>
    <w:rsid w:val="00A3390F"/>
    <w:rsid w:val="00A36B73"/>
    <w:rsid w:val="00A36DFB"/>
    <w:rsid w:val="00A40E0C"/>
    <w:rsid w:val="00A57A20"/>
    <w:rsid w:val="00A637E5"/>
    <w:rsid w:val="00A7747F"/>
    <w:rsid w:val="00A774BE"/>
    <w:rsid w:val="00A8638E"/>
    <w:rsid w:val="00A8766B"/>
    <w:rsid w:val="00A971A6"/>
    <w:rsid w:val="00AA0638"/>
    <w:rsid w:val="00AB00A8"/>
    <w:rsid w:val="00AB3DC9"/>
    <w:rsid w:val="00AD1543"/>
    <w:rsid w:val="00AD7A31"/>
    <w:rsid w:val="00AE4B6A"/>
    <w:rsid w:val="00B073D0"/>
    <w:rsid w:val="00B123CB"/>
    <w:rsid w:val="00B2420C"/>
    <w:rsid w:val="00B340E1"/>
    <w:rsid w:val="00B369A6"/>
    <w:rsid w:val="00B43FC5"/>
    <w:rsid w:val="00B5788F"/>
    <w:rsid w:val="00B70CC0"/>
    <w:rsid w:val="00B71939"/>
    <w:rsid w:val="00B90DF3"/>
    <w:rsid w:val="00BB0562"/>
    <w:rsid w:val="00BB44C2"/>
    <w:rsid w:val="00BB75B0"/>
    <w:rsid w:val="00BC0CDA"/>
    <w:rsid w:val="00BC6886"/>
    <w:rsid w:val="00BD399C"/>
    <w:rsid w:val="00BE2C9A"/>
    <w:rsid w:val="00BE44FE"/>
    <w:rsid w:val="00BE4CE9"/>
    <w:rsid w:val="00BE6CD9"/>
    <w:rsid w:val="00BF50C9"/>
    <w:rsid w:val="00BF5836"/>
    <w:rsid w:val="00C011D5"/>
    <w:rsid w:val="00C12B57"/>
    <w:rsid w:val="00C17909"/>
    <w:rsid w:val="00C17CB9"/>
    <w:rsid w:val="00C22D2B"/>
    <w:rsid w:val="00C27DD6"/>
    <w:rsid w:val="00C3491E"/>
    <w:rsid w:val="00C427D5"/>
    <w:rsid w:val="00C56026"/>
    <w:rsid w:val="00C72813"/>
    <w:rsid w:val="00CB1C5A"/>
    <w:rsid w:val="00CC6DB2"/>
    <w:rsid w:val="00CD6546"/>
    <w:rsid w:val="00CE3062"/>
    <w:rsid w:val="00CE76D9"/>
    <w:rsid w:val="00CF7251"/>
    <w:rsid w:val="00D26ADF"/>
    <w:rsid w:val="00D43AA7"/>
    <w:rsid w:val="00D51399"/>
    <w:rsid w:val="00D600E6"/>
    <w:rsid w:val="00D7052C"/>
    <w:rsid w:val="00D76FD1"/>
    <w:rsid w:val="00D94534"/>
    <w:rsid w:val="00DA1711"/>
    <w:rsid w:val="00DB1EF8"/>
    <w:rsid w:val="00DB63D8"/>
    <w:rsid w:val="00DB6563"/>
    <w:rsid w:val="00DC474C"/>
    <w:rsid w:val="00DD088A"/>
    <w:rsid w:val="00DD7B40"/>
    <w:rsid w:val="00DE30F1"/>
    <w:rsid w:val="00DF20C0"/>
    <w:rsid w:val="00E0722C"/>
    <w:rsid w:val="00E10D5C"/>
    <w:rsid w:val="00E4137A"/>
    <w:rsid w:val="00E42D17"/>
    <w:rsid w:val="00E45D6A"/>
    <w:rsid w:val="00E57C78"/>
    <w:rsid w:val="00E6184B"/>
    <w:rsid w:val="00E62CF6"/>
    <w:rsid w:val="00E636D8"/>
    <w:rsid w:val="00E76A1F"/>
    <w:rsid w:val="00E77BD4"/>
    <w:rsid w:val="00E82604"/>
    <w:rsid w:val="00EA0832"/>
    <w:rsid w:val="00EA1AA6"/>
    <w:rsid w:val="00EA4B7F"/>
    <w:rsid w:val="00EC2EEE"/>
    <w:rsid w:val="00EC5E74"/>
    <w:rsid w:val="00EC6B1E"/>
    <w:rsid w:val="00ED5B6E"/>
    <w:rsid w:val="00ED6001"/>
    <w:rsid w:val="00EE5A74"/>
    <w:rsid w:val="00EE64C3"/>
    <w:rsid w:val="00EE7F41"/>
    <w:rsid w:val="00EF0242"/>
    <w:rsid w:val="00F01735"/>
    <w:rsid w:val="00F02C05"/>
    <w:rsid w:val="00F07DC1"/>
    <w:rsid w:val="00F27351"/>
    <w:rsid w:val="00F27FE4"/>
    <w:rsid w:val="00F358E8"/>
    <w:rsid w:val="00F371DC"/>
    <w:rsid w:val="00F40714"/>
    <w:rsid w:val="00F42533"/>
    <w:rsid w:val="00F43645"/>
    <w:rsid w:val="00F51B5F"/>
    <w:rsid w:val="00F534AF"/>
    <w:rsid w:val="00F6398D"/>
    <w:rsid w:val="00F67070"/>
    <w:rsid w:val="00F70D18"/>
    <w:rsid w:val="00F714CD"/>
    <w:rsid w:val="00F75661"/>
    <w:rsid w:val="00F76461"/>
    <w:rsid w:val="00F76649"/>
    <w:rsid w:val="00F8164F"/>
    <w:rsid w:val="00F90954"/>
    <w:rsid w:val="00F923D2"/>
    <w:rsid w:val="00F9717B"/>
    <w:rsid w:val="00FA4B15"/>
    <w:rsid w:val="00FB1471"/>
    <w:rsid w:val="00FD1103"/>
    <w:rsid w:val="00FD29EE"/>
    <w:rsid w:val="00FE4F61"/>
    <w:rsid w:val="00FF0DAB"/>
    <w:rsid w:val="00FF6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B621525-1C7D-480F-8DFA-A21E6893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AB"/>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F0DAB"/>
    <w:rPr>
      <w:rFonts w:cs="Times New Roman"/>
      <w:sz w:val="18"/>
      <w:szCs w:val="18"/>
    </w:rPr>
  </w:style>
  <w:style w:type="paragraph" w:styleId="Footer">
    <w:name w:val="footer"/>
    <w:basedOn w:val="Normal"/>
    <w:link w:val="FooterChar"/>
    <w:rsid w:val="00253D86"/>
    <w:pPr>
      <w:tabs>
        <w:tab w:val="center" w:pos="4153"/>
        <w:tab w:val="right" w:pos="8306"/>
      </w:tabs>
      <w:snapToGrid w:val="0"/>
      <w:jc w:val="left"/>
    </w:pPr>
    <w:rPr>
      <w:sz w:val="18"/>
      <w:szCs w:val="18"/>
    </w:rPr>
  </w:style>
  <w:style w:type="character" w:customStyle="1" w:styleId="FooterChar">
    <w:name w:val="Footer Char"/>
    <w:basedOn w:val="DefaultParagraphFont"/>
    <w:link w:val="Footer"/>
    <w:semiHidden/>
    <w:locked/>
    <w:rsid w:val="00FF0DAB"/>
    <w:rPr>
      <w:rFonts w:cs="Times New Roman"/>
      <w:sz w:val="18"/>
      <w:szCs w:val="18"/>
    </w:rPr>
  </w:style>
  <w:style w:type="character" w:styleId="PageNumber">
    <w:name w:val="page number"/>
    <w:basedOn w:val="DefaultParagraphFont"/>
    <w:rsid w:val="00EE64C3"/>
    <w:rPr>
      <w:rFonts w:cs="Times New Roman"/>
    </w:rPr>
  </w:style>
  <w:style w:type="paragraph" w:styleId="BalloonText">
    <w:name w:val="Balloon Text"/>
    <w:basedOn w:val="Normal"/>
    <w:link w:val="BalloonTextChar"/>
    <w:rsid w:val="005A4E59"/>
    <w:rPr>
      <w:rFonts w:ascii="Tahoma" w:hAnsi="Tahoma" w:cs="Tahoma"/>
      <w:sz w:val="16"/>
      <w:szCs w:val="16"/>
    </w:rPr>
  </w:style>
  <w:style w:type="character" w:customStyle="1" w:styleId="BalloonTextChar">
    <w:name w:val="Balloon Text Char"/>
    <w:basedOn w:val="DefaultParagraphFont"/>
    <w:link w:val="BalloonText"/>
    <w:rsid w:val="005A4E59"/>
    <w:rPr>
      <w:rFonts w:ascii="Tahoma" w:hAnsi="Tahoma" w:cs="Tahoma"/>
      <w:kern w:val="2"/>
      <w:sz w:val="16"/>
      <w:szCs w:val="16"/>
      <w:lang w:eastAsia="zh-CN"/>
    </w:rPr>
  </w:style>
  <w:style w:type="character" w:customStyle="1" w:styleId="hps">
    <w:name w:val="hps"/>
    <w:basedOn w:val="DefaultParagraphFont"/>
    <w:rsid w:val="00080CC9"/>
  </w:style>
  <w:style w:type="character" w:styleId="Emphasis">
    <w:name w:val="Emphasis"/>
    <w:basedOn w:val="DefaultParagraphFont"/>
    <w:uiPriority w:val="20"/>
    <w:qFormat/>
    <w:locked/>
    <w:rsid w:val="00EE7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Applied Mathematics &amp; Information Sciences</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Mathematics &amp; Information Sciences</dc:title>
  <dc:creator>雨林木风</dc:creator>
  <cp:lastModifiedBy>Elka-LPTK</cp:lastModifiedBy>
  <cp:revision>2</cp:revision>
  <cp:lastPrinted>2011-01-14T07:48:00Z</cp:lastPrinted>
  <dcterms:created xsi:type="dcterms:W3CDTF">2017-01-30T02:49:00Z</dcterms:created>
  <dcterms:modified xsi:type="dcterms:W3CDTF">2017-01-30T02:49:00Z</dcterms:modified>
</cp:coreProperties>
</file>